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3951" w14:textId="77777777" w:rsidR="00EB0E94" w:rsidRPr="00CA1E24" w:rsidRDefault="008F0BB6" w:rsidP="008F0BB6">
      <w:pPr>
        <w:jc w:val="center"/>
        <w:rPr>
          <w:sz w:val="36"/>
          <w:szCs w:val="36"/>
          <w:lang w:val="fr-FR"/>
        </w:rPr>
      </w:pPr>
      <w:r w:rsidRPr="00CA1E24">
        <w:rPr>
          <w:sz w:val="36"/>
          <w:szCs w:val="36"/>
          <w:lang w:val="fr-FR"/>
        </w:rPr>
        <w:t>L’impôt en France</w:t>
      </w:r>
    </w:p>
    <w:p w14:paraId="1BF9B87D" w14:textId="77777777" w:rsidR="002365A1" w:rsidRDefault="002365A1">
      <w:pPr>
        <w:rPr>
          <w:lang w:val="fr-FR"/>
        </w:rPr>
      </w:pPr>
    </w:p>
    <w:p w14:paraId="562741A4" w14:textId="77777777" w:rsidR="00CA1E24" w:rsidRDefault="00CA1E24">
      <w:pPr>
        <w:rPr>
          <w:lang w:val="fr-FR"/>
        </w:rPr>
      </w:pPr>
    </w:p>
    <w:p w14:paraId="3B0E0D31" w14:textId="77777777" w:rsidR="00CA1E24" w:rsidRDefault="00CA1E24">
      <w:pPr>
        <w:rPr>
          <w:lang w:val="fr-FR"/>
        </w:rPr>
      </w:pPr>
    </w:p>
    <w:p w14:paraId="251CD7C3" w14:textId="77777777" w:rsidR="00CA1E24" w:rsidRDefault="00CA1E24">
      <w:pPr>
        <w:rPr>
          <w:lang w:val="fr-FR"/>
        </w:rPr>
      </w:pPr>
    </w:p>
    <w:p w14:paraId="5E8E07D7" w14:textId="77777777" w:rsidR="00CA1E24" w:rsidRDefault="00CA1E24">
      <w:pPr>
        <w:rPr>
          <w:lang w:val="fr-FR"/>
        </w:rPr>
      </w:pPr>
    </w:p>
    <w:p w14:paraId="09CF9F32" w14:textId="77777777" w:rsidR="00CA1E24" w:rsidRDefault="00CA1E24">
      <w:pPr>
        <w:rPr>
          <w:lang w:val="fr-FR"/>
        </w:rPr>
      </w:pPr>
    </w:p>
    <w:p w14:paraId="7D1AFDB4" w14:textId="77777777" w:rsidR="00CA1E24" w:rsidRPr="002365A1" w:rsidRDefault="00CA1E24">
      <w:pPr>
        <w:rPr>
          <w:lang w:val="fr-FR"/>
        </w:rPr>
      </w:pPr>
    </w:p>
    <w:p w14:paraId="0F83D99B" w14:textId="77777777" w:rsidR="002365A1" w:rsidRPr="0053345F" w:rsidRDefault="002365A1">
      <w:pPr>
        <w:rPr>
          <w:b/>
          <w:lang w:val="fr-FR"/>
        </w:rPr>
      </w:pPr>
      <w:r w:rsidRPr="0053345F">
        <w:rPr>
          <w:b/>
          <w:lang w:val="fr-FR"/>
        </w:rPr>
        <w:t>Présentation :</w:t>
      </w:r>
      <w:r w:rsidR="00B7747C">
        <w:rPr>
          <w:b/>
          <w:lang w:val="fr-FR"/>
        </w:rPr>
        <w:t xml:space="preserve"> </w:t>
      </w:r>
    </w:p>
    <w:p w14:paraId="503FC27C" w14:textId="77777777" w:rsidR="008F0BB6" w:rsidRDefault="002365A1" w:rsidP="00624F9B">
      <w:pPr>
        <w:jc w:val="both"/>
        <w:rPr>
          <w:lang w:val="fr-FR"/>
        </w:rPr>
      </w:pPr>
      <w:r w:rsidRPr="002365A1">
        <w:rPr>
          <w:lang w:val="fr-FR"/>
        </w:rPr>
        <w:t>Nous sommes des citoyens de la société civile.</w:t>
      </w:r>
      <w:r w:rsidR="000C5858">
        <w:rPr>
          <w:lang w:val="fr-FR"/>
        </w:rPr>
        <w:t xml:space="preserve"> Nous nous sommes rencontr</w:t>
      </w:r>
      <w:r w:rsidR="00624F9B">
        <w:rPr>
          <w:lang w:val="fr-FR"/>
        </w:rPr>
        <w:t>és lors des événements de nuit debout,</w:t>
      </w:r>
      <w:r w:rsidRPr="002365A1">
        <w:rPr>
          <w:lang w:val="fr-FR"/>
        </w:rPr>
        <w:t xml:space="preserve"> </w:t>
      </w:r>
      <w:r w:rsidR="00FF29A0">
        <w:rPr>
          <w:lang w:val="fr-FR"/>
        </w:rPr>
        <w:t>a</w:t>
      </w:r>
      <w:r>
        <w:rPr>
          <w:lang w:val="fr-FR"/>
        </w:rPr>
        <w:t xml:space="preserve">vec la volonté de </w:t>
      </w:r>
      <w:r w:rsidR="00FD4AAB">
        <w:rPr>
          <w:lang w:val="fr-FR"/>
        </w:rPr>
        <w:t>se réapproprier les débats</w:t>
      </w:r>
      <w:r w:rsidR="008F0BB6">
        <w:rPr>
          <w:lang w:val="fr-FR"/>
        </w:rPr>
        <w:t xml:space="preserve"> économiques souvent laissés à des experts bien que cela impacte notre vie quotidienne</w:t>
      </w:r>
      <w:r w:rsidR="00624F9B">
        <w:rPr>
          <w:lang w:val="fr-FR"/>
        </w:rPr>
        <w:t xml:space="preserve">. </w:t>
      </w:r>
    </w:p>
    <w:p w14:paraId="3914EB36" w14:textId="77777777" w:rsidR="002365A1" w:rsidRDefault="00FF29A0" w:rsidP="00624F9B">
      <w:pPr>
        <w:jc w:val="both"/>
        <w:rPr>
          <w:lang w:val="fr-FR"/>
        </w:rPr>
      </w:pPr>
      <w:r>
        <w:rPr>
          <w:lang w:val="fr-FR"/>
        </w:rPr>
        <w:t>Depuis</w:t>
      </w:r>
      <w:r w:rsidR="00624F9B">
        <w:rPr>
          <w:lang w:val="fr-FR"/>
        </w:rPr>
        <w:t xml:space="preserve"> </w:t>
      </w:r>
      <w:r>
        <w:rPr>
          <w:lang w:val="fr-FR"/>
        </w:rPr>
        <w:t>l’</w:t>
      </w:r>
      <w:r w:rsidR="00624F9B">
        <w:rPr>
          <w:lang w:val="fr-FR"/>
        </w:rPr>
        <w:t xml:space="preserve">occupation de </w:t>
      </w:r>
      <w:r>
        <w:rPr>
          <w:lang w:val="fr-FR"/>
        </w:rPr>
        <w:t xml:space="preserve">la </w:t>
      </w:r>
      <w:r w:rsidR="00624F9B">
        <w:rPr>
          <w:lang w:val="fr-FR"/>
        </w:rPr>
        <w:t>place</w:t>
      </w:r>
      <w:r>
        <w:rPr>
          <w:lang w:val="fr-FR"/>
        </w:rPr>
        <w:t xml:space="preserve"> de la république</w:t>
      </w:r>
      <w:r w:rsidR="00624F9B">
        <w:rPr>
          <w:lang w:val="fr-FR"/>
        </w:rPr>
        <w:t xml:space="preserve">, </w:t>
      </w:r>
      <w:r w:rsidR="002365A1">
        <w:rPr>
          <w:lang w:val="fr-FR"/>
        </w:rPr>
        <w:t>nous nous réunissons régulièrement pour trait</w:t>
      </w:r>
      <w:r w:rsidR="008F0BB6">
        <w:rPr>
          <w:lang w:val="fr-FR"/>
        </w:rPr>
        <w:t xml:space="preserve">er des questions économiques qui sont forcément </w:t>
      </w:r>
      <w:r w:rsidR="002365A1">
        <w:rPr>
          <w:lang w:val="fr-FR"/>
        </w:rPr>
        <w:t xml:space="preserve">politiques. </w:t>
      </w:r>
      <w:r w:rsidR="008F0BB6">
        <w:rPr>
          <w:lang w:val="fr-FR"/>
        </w:rPr>
        <w:t xml:space="preserve"> C’est pourquoi nous nous appelons la « commission économie politique ». </w:t>
      </w:r>
    </w:p>
    <w:p w14:paraId="72903A20" w14:textId="77777777" w:rsidR="002365A1" w:rsidRDefault="002365A1" w:rsidP="00624F9B">
      <w:pPr>
        <w:jc w:val="both"/>
        <w:rPr>
          <w:lang w:val="fr-FR"/>
        </w:rPr>
      </w:pPr>
      <w:r>
        <w:rPr>
          <w:lang w:val="fr-FR"/>
        </w:rPr>
        <w:t>Cette année nous nous sommes concentré</w:t>
      </w:r>
      <w:r w:rsidR="00624F9B">
        <w:rPr>
          <w:lang w:val="fr-FR"/>
        </w:rPr>
        <w:t>s</w:t>
      </w:r>
      <w:r>
        <w:rPr>
          <w:lang w:val="fr-FR"/>
        </w:rPr>
        <w:t xml:space="preserve"> sur la fiscalité voilà</w:t>
      </w:r>
      <w:r w:rsidR="008F0BB6">
        <w:rPr>
          <w:lang w:val="fr-FR"/>
        </w:rPr>
        <w:t xml:space="preserve"> la première partie  des résultats </w:t>
      </w:r>
      <w:r>
        <w:rPr>
          <w:lang w:val="fr-FR"/>
        </w:rPr>
        <w:t xml:space="preserve">de </w:t>
      </w:r>
      <w:r w:rsidRPr="00166B87">
        <w:rPr>
          <w:lang w:val="fr-FR"/>
        </w:rPr>
        <w:t>notre travail.</w:t>
      </w:r>
    </w:p>
    <w:p w14:paraId="2212D0B8" w14:textId="77777777" w:rsidR="002365A1" w:rsidRPr="00166B87" w:rsidRDefault="002365A1">
      <w:pPr>
        <w:rPr>
          <w:lang w:val="fr-FR"/>
        </w:rPr>
      </w:pPr>
    </w:p>
    <w:p w14:paraId="46DDD652" w14:textId="77777777" w:rsidR="002365A1" w:rsidRPr="0053345F" w:rsidRDefault="002365A1">
      <w:pPr>
        <w:rPr>
          <w:b/>
          <w:lang w:val="fr-FR"/>
        </w:rPr>
      </w:pPr>
      <w:r w:rsidRPr="0053345F">
        <w:rPr>
          <w:b/>
          <w:lang w:val="fr-FR"/>
        </w:rPr>
        <w:t>Les sources :</w:t>
      </w:r>
    </w:p>
    <w:p w14:paraId="4773D976" w14:textId="77777777" w:rsidR="002365A1" w:rsidRPr="00166B87" w:rsidRDefault="002365A1">
      <w:pPr>
        <w:rPr>
          <w:lang w:val="fr-FR"/>
        </w:rPr>
      </w:pPr>
      <w:r w:rsidRPr="00166B87">
        <w:rPr>
          <w:lang w:val="fr-FR"/>
        </w:rPr>
        <w:t xml:space="preserve">Afin d’effectuer notre travail nous nous sommes appuyer </w:t>
      </w:r>
      <w:r w:rsidR="00166B87" w:rsidRPr="00166B87">
        <w:rPr>
          <w:lang w:val="fr-FR"/>
        </w:rPr>
        <w:t>des documents publiés par</w:t>
      </w:r>
      <w:r w:rsidRPr="00166B87">
        <w:rPr>
          <w:lang w:val="fr-FR"/>
        </w:rPr>
        <w:t xml:space="preserve"> : </w:t>
      </w:r>
    </w:p>
    <w:p w14:paraId="426A5D42" w14:textId="77777777" w:rsidR="00166B87" w:rsidRPr="00166B87" w:rsidRDefault="00166B87" w:rsidP="00166B87">
      <w:pPr>
        <w:pStyle w:val="ListParagraph"/>
        <w:numPr>
          <w:ilvl w:val="0"/>
          <w:numId w:val="1"/>
        </w:numPr>
        <w:rPr>
          <w:lang w:val="fr-FR"/>
        </w:rPr>
      </w:pPr>
      <w:r w:rsidRPr="00166B87">
        <w:rPr>
          <w:lang w:val="fr-FR"/>
        </w:rPr>
        <w:t>Le conse</w:t>
      </w:r>
      <w:r w:rsidR="00C10011">
        <w:rPr>
          <w:lang w:val="fr-FR"/>
        </w:rPr>
        <w:t>il des prélèvements obligatoire (CPO)</w:t>
      </w:r>
    </w:p>
    <w:p w14:paraId="05887B35" w14:textId="77777777" w:rsidR="00166B87" w:rsidRPr="00166B87" w:rsidRDefault="00166B87" w:rsidP="00166B87">
      <w:pPr>
        <w:pStyle w:val="ListParagraph"/>
        <w:numPr>
          <w:ilvl w:val="0"/>
          <w:numId w:val="1"/>
        </w:numPr>
        <w:rPr>
          <w:lang w:val="fr-FR"/>
        </w:rPr>
      </w:pPr>
      <w:r w:rsidRPr="00166B87">
        <w:rPr>
          <w:lang w:val="fr-FR"/>
        </w:rPr>
        <w:t xml:space="preserve">l’INSEE </w:t>
      </w:r>
    </w:p>
    <w:p w14:paraId="5FEB45A4" w14:textId="77777777" w:rsidR="00166B87" w:rsidRPr="00166B87" w:rsidRDefault="00166B87" w:rsidP="00166B87">
      <w:pPr>
        <w:pStyle w:val="ListParagraph"/>
        <w:numPr>
          <w:ilvl w:val="0"/>
          <w:numId w:val="1"/>
        </w:numPr>
        <w:rPr>
          <w:lang w:val="fr-FR"/>
        </w:rPr>
      </w:pPr>
      <w:r w:rsidRPr="00166B87">
        <w:rPr>
          <w:lang w:val="fr-FR"/>
        </w:rPr>
        <w:t>La DREES</w:t>
      </w:r>
    </w:p>
    <w:p w14:paraId="5FDB96EB" w14:textId="77777777" w:rsidR="00C10011" w:rsidRDefault="00C10011" w:rsidP="00166B87">
      <w:pPr>
        <w:rPr>
          <w:lang w:val="fr-FR"/>
        </w:rPr>
      </w:pPr>
    </w:p>
    <w:p w14:paraId="06399642" w14:textId="77777777" w:rsidR="00166B87" w:rsidRPr="0053345F" w:rsidRDefault="00166B87" w:rsidP="00166B87">
      <w:pPr>
        <w:rPr>
          <w:b/>
          <w:lang w:val="fr-FR"/>
        </w:rPr>
      </w:pPr>
      <w:r w:rsidRPr="0053345F">
        <w:rPr>
          <w:b/>
          <w:lang w:val="fr-FR"/>
        </w:rPr>
        <w:t>Les documents utilisés sont :</w:t>
      </w:r>
    </w:p>
    <w:p w14:paraId="6A461021" w14:textId="77777777" w:rsidR="00166B87" w:rsidRPr="00166B87" w:rsidRDefault="00166B87" w:rsidP="00166B87">
      <w:pPr>
        <w:pStyle w:val="Default"/>
        <w:numPr>
          <w:ilvl w:val="0"/>
          <w:numId w:val="1"/>
        </w:numPr>
        <w:rPr>
          <w:lang w:val="fr-FR"/>
        </w:rPr>
      </w:pPr>
      <w:r w:rsidRPr="00166B87">
        <w:rPr>
          <w:lang w:val="fr-FR"/>
        </w:rPr>
        <w:t>Les effets redistributifs de la taxe sur la valeur ajoutée</w:t>
      </w:r>
      <w:r w:rsidR="00C10011">
        <w:rPr>
          <w:lang w:val="fr-FR"/>
        </w:rPr>
        <w:t xml:space="preserve"> (CPO) </w:t>
      </w:r>
    </w:p>
    <w:p w14:paraId="1CE5BDFF" w14:textId="77777777" w:rsidR="00166B87" w:rsidRPr="00166B87" w:rsidRDefault="00166B87" w:rsidP="00166B87">
      <w:pPr>
        <w:pStyle w:val="Default"/>
        <w:numPr>
          <w:ilvl w:val="0"/>
          <w:numId w:val="1"/>
        </w:numPr>
        <w:rPr>
          <w:lang w:val="fr-FR"/>
        </w:rPr>
      </w:pPr>
      <w:r w:rsidRPr="00166B87">
        <w:rPr>
          <w:lang w:val="fr-FR"/>
        </w:rPr>
        <w:t>La fiche thématique revenus de l’INSEE</w:t>
      </w:r>
    </w:p>
    <w:p w14:paraId="34B6AAB7" w14:textId="77777777" w:rsidR="00166B87" w:rsidRDefault="00166B87" w:rsidP="00166B87">
      <w:pPr>
        <w:pStyle w:val="Default"/>
        <w:numPr>
          <w:ilvl w:val="0"/>
          <w:numId w:val="1"/>
        </w:numPr>
        <w:rPr>
          <w:lang w:val="fr-FR"/>
        </w:rPr>
      </w:pPr>
      <w:r>
        <w:rPr>
          <w:lang w:val="fr-FR"/>
        </w:rPr>
        <w:t xml:space="preserve">Le module de taxation indirecte du modèle </w:t>
      </w:r>
      <w:proofErr w:type="spellStart"/>
      <w:r>
        <w:rPr>
          <w:lang w:val="fr-FR"/>
        </w:rPr>
        <w:t>Ines</w:t>
      </w:r>
      <w:proofErr w:type="spellEnd"/>
      <w:r w:rsidR="00C10011">
        <w:rPr>
          <w:lang w:val="fr-FR"/>
        </w:rPr>
        <w:t xml:space="preserve">  (DREES)</w:t>
      </w:r>
    </w:p>
    <w:p w14:paraId="5EC00878" w14:textId="77777777" w:rsidR="002365A1" w:rsidRPr="00C10011" w:rsidRDefault="00166B87" w:rsidP="00C10011">
      <w:pPr>
        <w:pStyle w:val="Default"/>
        <w:numPr>
          <w:ilvl w:val="0"/>
          <w:numId w:val="1"/>
        </w:numPr>
        <w:rPr>
          <w:rFonts w:asciiTheme="minorHAnsi" w:hAnsiTheme="minorHAnsi"/>
          <w:lang w:val="fr-FR"/>
        </w:rPr>
      </w:pPr>
      <w:r w:rsidRPr="00166B87">
        <w:rPr>
          <w:rFonts w:asciiTheme="minorHAnsi" w:hAnsiTheme="minorHAnsi" w:cs="Times New Roman"/>
          <w:lang w:val="fr-FR"/>
        </w:rPr>
        <w:t>l’Enquête Re</w:t>
      </w:r>
      <w:r w:rsidR="00C10011">
        <w:rPr>
          <w:rFonts w:asciiTheme="minorHAnsi" w:hAnsiTheme="minorHAnsi" w:cs="Times New Roman"/>
          <w:lang w:val="fr-FR"/>
        </w:rPr>
        <w:t xml:space="preserve">venus fiscaux et sociaux (ERFS) </w:t>
      </w:r>
      <w:r w:rsidR="00C10011" w:rsidRPr="00166B87">
        <w:rPr>
          <w:lang w:val="fr-FR"/>
        </w:rPr>
        <w:t>de l’INSEE</w:t>
      </w:r>
    </w:p>
    <w:p w14:paraId="0811C335" w14:textId="77777777" w:rsidR="00C10011" w:rsidRDefault="00C10011" w:rsidP="00C10011">
      <w:pPr>
        <w:pStyle w:val="Default"/>
        <w:rPr>
          <w:rFonts w:asciiTheme="minorHAnsi" w:hAnsiTheme="minorHAnsi" w:cs="Times New Roman"/>
          <w:lang w:val="fr-FR"/>
        </w:rPr>
      </w:pPr>
    </w:p>
    <w:p w14:paraId="2C7A730A" w14:textId="77777777" w:rsidR="00CA1E24" w:rsidRDefault="00CA1E24" w:rsidP="00C10011">
      <w:pPr>
        <w:pStyle w:val="Default"/>
        <w:rPr>
          <w:rFonts w:asciiTheme="minorHAnsi" w:hAnsiTheme="minorHAnsi" w:cs="Times New Roman"/>
          <w:lang w:val="fr-FR"/>
        </w:rPr>
      </w:pPr>
    </w:p>
    <w:p w14:paraId="709C159B" w14:textId="77777777" w:rsidR="00CA1E24" w:rsidRDefault="00CA1E24" w:rsidP="00C10011">
      <w:pPr>
        <w:pStyle w:val="Default"/>
        <w:rPr>
          <w:rFonts w:asciiTheme="minorHAnsi" w:hAnsiTheme="minorHAnsi" w:cs="Times New Roman"/>
          <w:lang w:val="fr-FR"/>
        </w:rPr>
      </w:pPr>
    </w:p>
    <w:p w14:paraId="2EF5C662" w14:textId="77777777" w:rsidR="00CA1E24" w:rsidRDefault="00CA1E24" w:rsidP="00C10011">
      <w:pPr>
        <w:pStyle w:val="Default"/>
        <w:rPr>
          <w:rFonts w:asciiTheme="minorHAnsi" w:hAnsiTheme="minorHAnsi" w:cs="Times New Roman"/>
          <w:lang w:val="fr-FR"/>
        </w:rPr>
      </w:pPr>
    </w:p>
    <w:p w14:paraId="25C866CF" w14:textId="77777777" w:rsidR="00C10011" w:rsidRPr="0053345F" w:rsidRDefault="00C10011" w:rsidP="00C10011">
      <w:pPr>
        <w:pStyle w:val="Default"/>
        <w:rPr>
          <w:rFonts w:asciiTheme="minorHAnsi" w:hAnsiTheme="minorHAnsi"/>
          <w:b/>
          <w:lang w:val="fr-FR"/>
        </w:rPr>
      </w:pPr>
    </w:p>
    <w:p w14:paraId="141CD870" w14:textId="77777777" w:rsidR="002365A1" w:rsidRPr="0053345F" w:rsidRDefault="002365A1">
      <w:pPr>
        <w:rPr>
          <w:b/>
          <w:lang w:val="fr-FR"/>
        </w:rPr>
      </w:pPr>
      <w:r w:rsidRPr="0053345F">
        <w:rPr>
          <w:b/>
          <w:lang w:val="fr-FR"/>
        </w:rPr>
        <w:t>Les limites :</w:t>
      </w:r>
    </w:p>
    <w:p w14:paraId="31A7EDDF" w14:textId="77777777" w:rsidR="00781B23" w:rsidRDefault="00C10011" w:rsidP="00FD4AAB">
      <w:pPr>
        <w:jc w:val="both"/>
        <w:rPr>
          <w:lang w:val="fr-FR"/>
        </w:rPr>
      </w:pPr>
      <w:r>
        <w:rPr>
          <w:lang w:val="fr-FR"/>
        </w:rPr>
        <w:t xml:space="preserve">Notre année de référence est 2011. Il nous a fallu de nombreuses heures de travail afin de réunir un maximum de données. Malgré cela il nous a été impossible d’obtenir l’ensemble des données et nous regrettons que la </w:t>
      </w:r>
      <w:r w:rsidRPr="007B2C10">
        <w:rPr>
          <w:lang w:val="fr-FR"/>
        </w:rPr>
        <w:t xml:space="preserve">statistique nationale ne soit pas plus limpide. </w:t>
      </w:r>
    </w:p>
    <w:p w14:paraId="125D4BCC" w14:textId="77777777" w:rsidR="00C10011" w:rsidRPr="007B2C10" w:rsidRDefault="00781B23" w:rsidP="00FD4AAB">
      <w:pPr>
        <w:jc w:val="both"/>
        <w:rPr>
          <w:lang w:val="fr-FR"/>
        </w:rPr>
      </w:pPr>
      <w:r>
        <w:rPr>
          <w:lang w:val="fr-FR"/>
        </w:rPr>
        <w:t xml:space="preserve">Tous les organismes s’accordent sur le fait qu’il existe un écart entre la comptabilité nationale et les résultats statistiques de leurs modèles. Nous basant sur leurs données nous ne dérogeons donc pas à cette contrainte. </w:t>
      </w:r>
    </w:p>
    <w:p w14:paraId="20318509" w14:textId="77777777" w:rsidR="00C10011" w:rsidRDefault="00C10011" w:rsidP="00FD4AAB">
      <w:pPr>
        <w:jc w:val="both"/>
        <w:rPr>
          <w:lang w:val="fr-FR"/>
        </w:rPr>
      </w:pPr>
      <w:r w:rsidRPr="007B2C10">
        <w:rPr>
          <w:lang w:val="fr-FR"/>
        </w:rPr>
        <w:t xml:space="preserve">Cependant nous pensons être </w:t>
      </w:r>
      <w:r w:rsidR="00781B23" w:rsidRPr="007B2C10">
        <w:rPr>
          <w:lang w:val="fr-FR"/>
        </w:rPr>
        <w:t>arrivés</w:t>
      </w:r>
      <w:r w:rsidRPr="007B2C10">
        <w:rPr>
          <w:lang w:val="fr-FR"/>
        </w:rPr>
        <w:t xml:space="preserve"> à des résultats fiables.</w:t>
      </w:r>
    </w:p>
    <w:p w14:paraId="26C97F64" w14:textId="77777777" w:rsidR="00CA1E24" w:rsidRDefault="00CA1E24" w:rsidP="00FD4AAB">
      <w:pPr>
        <w:jc w:val="both"/>
        <w:rPr>
          <w:lang w:val="fr-FR"/>
        </w:rPr>
      </w:pPr>
    </w:p>
    <w:p w14:paraId="1B28DFFE" w14:textId="77777777" w:rsidR="008F0BB6" w:rsidRPr="0053345F" w:rsidRDefault="006B7915">
      <w:pPr>
        <w:rPr>
          <w:b/>
          <w:lang w:val="fr-FR"/>
        </w:rPr>
      </w:pPr>
      <w:r>
        <w:rPr>
          <w:b/>
          <w:lang w:val="fr-FR"/>
        </w:rPr>
        <w:t>L</w:t>
      </w:r>
      <w:r w:rsidR="00C10011" w:rsidRPr="0053345F">
        <w:rPr>
          <w:b/>
          <w:lang w:val="fr-FR"/>
        </w:rPr>
        <w:t>’idée de départ :</w:t>
      </w:r>
    </w:p>
    <w:p w14:paraId="0A25E3C0" w14:textId="77777777" w:rsidR="008F0BB6" w:rsidRDefault="000A243D" w:rsidP="008F0BB6">
      <w:pPr>
        <w:rPr>
          <w:lang w:val="fr-FR"/>
        </w:rPr>
      </w:pPr>
      <w:r>
        <w:rPr>
          <w:lang w:val="fr-FR"/>
        </w:rPr>
        <w:t xml:space="preserve">Nous avons souhaité établir le pourcentage d’imposition </w:t>
      </w:r>
      <w:r w:rsidR="00C10011" w:rsidRPr="007B2C10">
        <w:rPr>
          <w:lang w:val="fr-FR"/>
        </w:rPr>
        <w:t>sur les revenus disponibles d</w:t>
      </w:r>
      <w:r>
        <w:rPr>
          <w:lang w:val="fr-FR"/>
        </w:rPr>
        <w:t>es ménages, tous impôts confondus</w:t>
      </w:r>
      <w:r w:rsidR="008F0BB6">
        <w:rPr>
          <w:lang w:val="fr-FR"/>
        </w:rPr>
        <w:t xml:space="preserve"> en France.  </w:t>
      </w:r>
    </w:p>
    <w:p w14:paraId="6A9EF35F" w14:textId="77777777" w:rsidR="000A243D" w:rsidRDefault="000A243D" w:rsidP="008F0BB6">
      <w:pPr>
        <w:rPr>
          <w:lang w:val="fr-FR"/>
        </w:rPr>
      </w:pPr>
      <w:r>
        <w:rPr>
          <w:lang w:val="fr-FR"/>
        </w:rPr>
        <w:t xml:space="preserve">Nous voulions, </w:t>
      </w:r>
      <w:r w:rsidR="008F0BB6">
        <w:rPr>
          <w:lang w:val="fr-FR"/>
        </w:rPr>
        <w:t xml:space="preserve"> </w:t>
      </w:r>
      <w:r>
        <w:rPr>
          <w:lang w:val="fr-FR"/>
        </w:rPr>
        <w:t xml:space="preserve">au-delà des discours officiels de justice sociale du modèle Français,  observer </w:t>
      </w:r>
      <w:r w:rsidR="008F0BB6">
        <w:rPr>
          <w:lang w:val="fr-FR"/>
        </w:rPr>
        <w:t xml:space="preserve">la progressivité réelle de l’imposition en </w:t>
      </w:r>
      <w:r>
        <w:rPr>
          <w:lang w:val="fr-FR"/>
        </w:rPr>
        <w:t>France</w:t>
      </w:r>
      <w:r w:rsidR="008F0BB6">
        <w:rPr>
          <w:lang w:val="fr-FR"/>
        </w:rPr>
        <w:t>.</w:t>
      </w:r>
      <w:r w:rsidR="00171F39">
        <w:rPr>
          <w:lang w:val="fr-FR"/>
        </w:rPr>
        <w:t xml:space="preserve"> </w:t>
      </w:r>
    </w:p>
    <w:p w14:paraId="6EEB6D4F" w14:textId="77777777" w:rsidR="008F0BB6" w:rsidRDefault="00171F39">
      <w:pPr>
        <w:rPr>
          <w:lang w:val="fr-FR"/>
        </w:rPr>
      </w:pPr>
      <w:r>
        <w:rPr>
          <w:lang w:val="fr-FR"/>
        </w:rPr>
        <w:t>L</w:t>
      </w:r>
      <w:r w:rsidR="000A243D">
        <w:rPr>
          <w:lang w:val="fr-FR"/>
        </w:rPr>
        <w:t xml:space="preserve">’impôt </w:t>
      </w:r>
      <w:r w:rsidR="008F0BB6">
        <w:rPr>
          <w:lang w:val="fr-FR"/>
        </w:rPr>
        <w:t xml:space="preserve"> </w:t>
      </w:r>
      <w:r w:rsidR="000A243D">
        <w:rPr>
          <w:lang w:val="fr-FR"/>
        </w:rPr>
        <w:t xml:space="preserve">qui </w:t>
      </w:r>
      <w:r w:rsidR="008F0BB6">
        <w:rPr>
          <w:lang w:val="fr-FR"/>
        </w:rPr>
        <w:t xml:space="preserve">permet de récolter les fonds </w:t>
      </w:r>
      <w:r>
        <w:rPr>
          <w:lang w:val="fr-FR"/>
        </w:rPr>
        <w:t xml:space="preserve">publics </w:t>
      </w:r>
      <w:r w:rsidR="000A243D">
        <w:rPr>
          <w:lang w:val="fr-FR"/>
        </w:rPr>
        <w:t xml:space="preserve">pour les administrations </w:t>
      </w:r>
      <w:r>
        <w:rPr>
          <w:lang w:val="fr-FR"/>
        </w:rPr>
        <w:t>est aussi un outil de réduction  d</w:t>
      </w:r>
      <w:r w:rsidR="008F0BB6">
        <w:rPr>
          <w:lang w:val="fr-FR"/>
        </w:rPr>
        <w:t>es inégalités, qui on le sait, ne cessent d’augmenter.</w:t>
      </w:r>
    </w:p>
    <w:p w14:paraId="58CD5BD2" w14:textId="77777777" w:rsidR="00CA1E24" w:rsidRDefault="00CA1E24">
      <w:pPr>
        <w:rPr>
          <w:lang w:val="fr-FR"/>
        </w:rPr>
      </w:pPr>
    </w:p>
    <w:p w14:paraId="59486553" w14:textId="77777777" w:rsidR="00CA1E24" w:rsidRDefault="00CA1E24">
      <w:pPr>
        <w:rPr>
          <w:lang w:val="fr-FR"/>
        </w:rPr>
      </w:pPr>
    </w:p>
    <w:p w14:paraId="4963F96B" w14:textId="77777777" w:rsidR="00CA1E24" w:rsidRDefault="00CA1E24">
      <w:pPr>
        <w:rPr>
          <w:lang w:val="fr-FR"/>
        </w:rPr>
      </w:pPr>
    </w:p>
    <w:p w14:paraId="1B6456AA" w14:textId="77777777" w:rsidR="00CA1E24" w:rsidRDefault="00CA1E24">
      <w:pPr>
        <w:rPr>
          <w:lang w:val="fr-FR"/>
        </w:rPr>
      </w:pPr>
    </w:p>
    <w:p w14:paraId="735D7499" w14:textId="77777777" w:rsidR="00CA1E24" w:rsidRDefault="00CA1E24">
      <w:pPr>
        <w:rPr>
          <w:lang w:val="fr-FR"/>
        </w:rPr>
      </w:pPr>
      <w:r>
        <w:rPr>
          <w:lang w:val="fr-FR"/>
        </w:rPr>
        <w:br w:type="page"/>
      </w:r>
    </w:p>
    <w:p w14:paraId="634EFE4D"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6E3715">
        <w:rPr>
          <w:rFonts w:cs="Courier"/>
          <w:b/>
          <w:sz w:val="28"/>
          <w:szCs w:val="28"/>
          <w:lang w:val="fr-FR" w:eastAsia="en-US"/>
        </w:rPr>
        <w:lastRenderedPageBreak/>
        <w:t xml:space="preserve">Part de chaque impôt dans les recettes totales: </w:t>
      </w:r>
    </w:p>
    <w:p w14:paraId="687EBF64"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61813CFD"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360D91B3"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419B470F"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7D01EBC7" w14:textId="77777777" w:rsidR="00CA1E24" w:rsidRPr="006E3715"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4DBF2F9F" w14:textId="77777777" w:rsidR="00CA1E24" w:rsidRDefault="00CA1E24" w:rsidP="00CA1E24">
      <w:pPr>
        <w:rPr>
          <w:lang w:val="fr-FR"/>
        </w:rPr>
      </w:pPr>
    </w:p>
    <w:p w14:paraId="3A92CA31" w14:textId="77777777" w:rsidR="00CA1E24" w:rsidRDefault="00CA1E24" w:rsidP="00CA1E24">
      <w:pPr>
        <w:jc w:val="center"/>
        <w:rPr>
          <w:lang w:val="fr-FR"/>
        </w:rPr>
      </w:pPr>
      <w:r w:rsidRPr="009927F1">
        <w:rPr>
          <w:noProof/>
          <w:lang w:val="en-US" w:eastAsia="en-US"/>
        </w:rPr>
        <w:drawing>
          <wp:inline distT="0" distB="0" distL="0" distR="0" wp14:anchorId="6C3F2132" wp14:editId="4CE97BBE">
            <wp:extent cx="3248936" cy="2415927"/>
            <wp:effectExtent l="19050" t="0" r="27664" b="3423"/>
            <wp:docPr id="1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639511" w14:textId="77777777" w:rsidR="00CA1E24" w:rsidRDefault="00CA1E24" w:rsidP="00CA1E24">
      <w:pPr>
        <w:jc w:val="center"/>
        <w:rPr>
          <w:lang w:val="fr-FR"/>
        </w:rPr>
      </w:pPr>
    </w:p>
    <w:p w14:paraId="035A69CC" w14:textId="77777777" w:rsidR="00CA1E24" w:rsidRDefault="00CA1E24" w:rsidP="00CA1E24">
      <w:pPr>
        <w:jc w:val="center"/>
        <w:rPr>
          <w:lang w:val="fr-FR"/>
        </w:rPr>
      </w:pPr>
    </w:p>
    <w:p w14:paraId="3E996890" w14:textId="77777777" w:rsidR="00CA1E24" w:rsidRDefault="00CA1E24" w:rsidP="00CA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 xml:space="preserve">La part prépondérante d’impôts dégressifs comme les impôts indirects (TVA, etc.) malgré la progressivité de certains impôts comme l’impôt sur le revenu explique la faible progressivité de l’imposition réelle totale des ménages. </w:t>
      </w:r>
    </w:p>
    <w:p w14:paraId="1E4D31A9" w14:textId="77777777" w:rsidR="00CA1E24" w:rsidRDefault="00CA1E24">
      <w:pPr>
        <w:rPr>
          <w:lang w:val="fr-FR"/>
        </w:rPr>
      </w:pPr>
    </w:p>
    <w:p w14:paraId="1276CF9A" w14:textId="77777777" w:rsidR="007B2C10" w:rsidRDefault="00CA1E24">
      <w:pPr>
        <w:rPr>
          <w:b/>
          <w:lang w:val="fr-FR"/>
        </w:rPr>
      </w:pPr>
      <w:r>
        <w:rPr>
          <w:lang w:val="fr-FR"/>
        </w:rPr>
        <w:br w:type="page"/>
      </w:r>
      <w:r w:rsidR="007B2C10" w:rsidRPr="0053345F">
        <w:rPr>
          <w:b/>
          <w:lang w:val="fr-FR"/>
        </w:rPr>
        <w:lastRenderedPageBreak/>
        <w:t>Quelques définitions</w:t>
      </w:r>
    </w:p>
    <w:p w14:paraId="73070B0D" w14:textId="77777777" w:rsidR="00CA1E24" w:rsidRDefault="00CA1E24">
      <w:pPr>
        <w:rPr>
          <w:b/>
          <w:lang w:val="fr-FR"/>
        </w:rPr>
      </w:pPr>
    </w:p>
    <w:p w14:paraId="703FF631" w14:textId="77777777" w:rsidR="00CA1E24" w:rsidRPr="00CA1E24" w:rsidRDefault="00CA1E24">
      <w:pPr>
        <w:rPr>
          <w:lang w:val="fr-FR"/>
        </w:rPr>
      </w:pPr>
    </w:p>
    <w:p w14:paraId="60D4BB65" w14:textId="77777777" w:rsidR="007B2C10" w:rsidRDefault="007B2C10" w:rsidP="007B2C10">
      <w:pPr>
        <w:rPr>
          <w:b/>
          <w:lang w:val="fr-FR"/>
        </w:rPr>
      </w:pPr>
      <w:r w:rsidRPr="0053345F">
        <w:rPr>
          <w:b/>
          <w:lang w:val="fr-FR"/>
        </w:rPr>
        <w:t xml:space="preserve">Les déciles : </w:t>
      </w:r>
    </w:p>
    <w:p w14:paraId="5C260CCC" w14:textId="77777777" w:rsidR="006B7915" w:rsidRPr="006B7915" w:rsidRDefault="006B7915" w:rsidP="007B2C10">
      <w:pPr>
        <w:rPr>
          <w:lang w:val="fr-FR"/>
        </w:rPr>
      </w:pPr>
      <w:r w:rsidRPr="006B7915">
        <w:rPr>
          <w:lang w:val="fr-FR"/>
        </w:rPr>
        <w:t>En 2011, il y avait 28 millions de ménages. On divise cette population en 10 parties égales, c a d 2.8 millions de ménages et on appelle</w:t>
      </w:r>
      <w:r>
        <w:rPr>
          <w:lang w:val="fr-FR"/>
        </w:rPr>
        <w:t xml:space="preserve"> chaque</w:t>
      </w:r>
      <w:r w:rsidRPr="006B7915">
        <w:rPr>
          <w:lang w:val="fr-FR"/>
        </w:rPr>
        <w:t xml:space="preserve"> partie un décile. </w:t>
      </w:r>
    </w:p>
    <w:p w14:paraId="3AC5D8A8" w14:textId="77777777" w:rsidR="006B7915" w:rsidRPr="006B7915" w:rsidRDefault="006B7915" w:rsidP="007B2C10">
      <w:pPr>
        <w:rPr>
          <w:lang w:val="fr-FR"/>
        </w:rPr>
      </w:pPr>
      <w:r w:rsidRPr="006B7915">
        <w:rPr>
          <w:lang w:val="fr-FR"/>
        </w:rPr>
        <w:t xml:space="preserve">On classe ensuite dans un ordre croissant ces déciles en fonction de leur revenu disponible. </w:t>
      </w:r>
    </w:p>
    <w:p w14:paraId="53158A1C" w14:textId="77777777" w:rsidR="006B7915" w:rsidRDefault="006B7915" w:rsidP="007B2C10">
      <w:pPr>
        <w:rPr>
          <w:lang w:val="fr-FR"/>
        </w:rPr>
      </w:pPr>
      <w:r w:rsidRPr="006B7915">
        <w:rPr>
          <w:lang w:val="fr-FR"/>
        </w:rPr>
        <w:t xml:space="preserve">Le premier décile est composé des 10% les plus pauvres des ménages  et le dernier décile des 10% les plus riches des ménages. </w:t>
      </w:r>
    </w:p>
    <w:p w14:paraId="7C602F48" w14:textId="77777777" w:rsidR="00CA1E24" w:rsidRPr="006B7915" w:rsidRDefault="00CA1E24" w:rsidP="007B2C10">
      <w:pPr>
        <w:rPr>
          <w:lang w:val="fr-FR"/>
        </w:rPr>
      </w:pPr>
    </w:p>
    <w:p w14:paraId="1102D891" w14:textId="77777777" w:rsidR="00046362" w:rsidRDefault="007B2C10" w:rsidP="00046362">
      <w:pPr>
        <w:rPr>
          <w:b/>
          <w:lang w:val="fr-FR"/>
        </w:rPr>
      </w:pPr>
      <w:r w:rsidRPr="0053345F">
        <w:rPr>
          <w:b/>
          <w:lang w:val="fr-FR"/>
        </w:rPr>
        <w:t>Le revenu disponible :</w:t>
      </w:r>
    </w:p>
    <w:p w14:paraId="353AEC72" w14:textId="77777777" w:rsidR="000A243D" w:rsidRDefault="007B2C10" w:rsidP="00046362">
      <w:pPr>
        <w:rPr>
          <w:rFonts w:cs="Courier"/>
          <w:lang w:val="fr-FR" w:eastAsia="en-US"/>
        </w:rPr>
      </w:pPr>
      <w:r w:rsidRPr="00625B7C">
        <w:rPr>
          <w:rFonts w:cs="Courier"/>
          <w:lang w:val="fr-FR" w:eastAsia="en-US"/>
        </w:rPr>
        <w:t>Le revenu disponible d'un ménage compr</w:t>
      </w:r>
      <w:r w:rsidR="000F307E">
        <w:rPr>
          <w:rFonts w:cs="Courier"/>
          <w:lang w:val="fr-FR" w:eastAsia="en-US"/>
        </w:rPr>
        <w:t>end les revenus d'activité (une fois les</w:t>
      </w:r>
      <w:r w:rsidR="000A243D">
        <w:rPr>
          <w:rFonts w:cs="Courier"/>
          <w:lang w:val="fr-FR" w:eastAsia="en-US"/>
        </w:rPr>
        <w:t xml:space="preserve"> </w:t>
      </w:r>
      <w:r w:rsidRPr="00625B7C">
        <w:rPr>
          <w:rFonts w:cs="Courier"/>
          <w:lang w:val="fr-FR" w:eastAsia="en-US"/>
        </w:rPr>
        <w:t xml:space="preserve"> cotisations sociales</w:t>
      </w:r>
      <w:r w:rsidR="000F307E">
        <w:rPr>
          <w:rFonts w:cs="Courier"/>
          <w:lang w:val="fr-FR" w:eastAsia="en-US"/>
        </w:rPr>
        <w:t xml:space="preserve"> prélevées</w:t>
      </w:r>
      <w:r w:rsidRPr="00625B7C">
        <w:rPr>
          <w:rFonts w:cs="Courier"/>
          <w:lang w:val="fr-FR" w:eastAsia="en-US"/>
        </w:rPr>
        <w:t>), les revenus du patrimoine, les transferts en provenance d'autres ménages</w:t>
      </w:r>
      <w:r w:rsidR="000F307E">
        <w:rPr>
          <w:rFonts w:cs="Courier"/>
          <w:lang w:val="fr-FR" w:eastAsia="en-US"/>
        </w:rPr>
        <w:t xml:space="preserve"> </w:t>
      </w:r>
      <w:r w:rsidR="000A243D">
        <w:rPr>
          <w:rFonts w:cs="Courier"/>
          <w:lang w:val="fr-FR" w:eastAsia="en-US"/>
        </w:rPr>
        <w:t xml:space="preserve"> (pensions alimentaires, etc.)</w:t>
      </w:r>
      <w:r w:rsidR="000F307E">
        <w:rPr>
          <w:rFonts w:cs="Courier"/>
          <w:lang w:val="fr-FR" w:eastAsia="en-US"/>
        </w:rPr>
        <w:t xml:space="preserve"> </w:t>
      </w:r>
      <w:r w:rsidRPr="00625B7C">
        <w:rPr>
          <w:rFonts w:cs="Courier"/>
          <w:lang w:val="fr-FR" w:eastAsia="en-US"/>
        </w:rPr>
        <w:t xml:space="preserve"> </w:t>
      </w:r>
      <w:proofErr w:type="gramStart"/>
      <w:r w:rsidR="000A243D">
        <w:rPr>
          <w:rFonts w:cs="Courier"/>
          <w:lang w:val="fr-FR" w:eastAsia="en-US"/>
        </w:rPr>
        <w:t>e</w:t>
      </w:r>
      <w:r w:rsidRPr="00625B7C">
        <w:rPr>
          <w:rFonts w:cs="Courier"/>
          <w:lang w:val="fr-FR" w:eastAsia="en-US"/>
        </w:rPr>
        <w:t>t</w:t>
      </w:r>
      <w:proofErr w:type="gramEnd"/>
      <w:r w:rsidRPr="00625B7C">
        <w:rPr>
          <w:rFonts w:cs="Courier"/>
          <w:lang w:val="fr-FR" w:eastAsia="en-US"/>
        </w:rPr>
        <w:t xml:space="preserve"> les prestations sociales (pensi</w:t>
      </w:r>
      <w:r w:rsidR="00860692">
        <w:rPr>
          <w:rFonts w:cs="Courier"/>
          <w:lang w:val="fr-FR" w:eastAsia="en-US"/>
        </w:rPr>
        <w:t>ons de retraite,</w:t>
      </w:r>
      <w:r w:rsidRPr="00625B7C">
        <w:rPr>
          <w:rFonts w:cs="Courier"/>
          <w:lang w:val="fr-FR" w:eastAsia="en-US"/>
        </w:rPr>
        <w:t xml:space="preserve"> indemnités chômage</w:t>
      </w:r>
      <w:r w:rsidR="005C1634">
        <w:rPr>
          <w:rFonts w:cs="Courier"/>
          <w:lang w:val="fr-FR" w:eastAsia="en-US"/>
        </w:rPr>
        <w:t>, RSA, etc.)</w:t>
      </w:r>
      <w:r w:rsidRPr="00625B7C">
        <w:rPr>
          <w:rFonts w:cs="Courier"/>
          <w:lang w:val="fr-FR" w:eastAsia="en-US"/>
        </w:rPr>
        <w:t>.</w:t>
      </w:r>
      <w:r w:rsidR="000F307E">
        <w:rPr>
          <w:rFonts w:cs="Courier"/>
          <w:lang w:val="fr-FR" w:eastAsia="en-US"/>
        </w:rPr>
        <w:t xml:space="preserve"> </w:t>
      </w:r>
      <w:r w:rsidR="005C1634">
        <w:rPr>
          <w:rFonts w:cs="Courier"/>
          <w:lang w:val="fr-FR" w:eastAsia="en-US"/>
        </w:rPr>
        <w:t xml:space="preserve"> </w:t>
      </w:r>
    </w:p>
    <w:p w14:paraId="308DACFA" w14:textId="77777777" w:rsidR="007B2C10" w:rsidRDefault="000F307E" w:rsidP="00046362">
      <w:pPr>
        <w:rPr>
          <w:rFonts w:cs="Courier"/>
          <w:lang w:val="fr-FR" w:eastAsia="en-US"/>
        </w:rPr>
      </w:pPr>
      <w:r>
        <w:rPr>
          <w:rFonts w:cs="Courier"/>
          <w:lang w:val="fr-FR" w:eastAsia="en-US"/>
        </w:rPr>
        <w:t xml:space="preserve">En gros c’est le PDDDM : Pognon  De Début De Mois. </w:t>
      </w:r>
    </w:p>
    <w:p w14:paraId="4631CB50" w14:textId="77777777" w:rsidR="00E81564" w:rsidRDefault="005C1634" w:rsidP="005C1634">
      <w:pPr>
        <w:rPr>
          <w:rFonts w:cs="Courier"/>
          <w:lang w:val="fr-FR" w:eastAsia="en-US"/>
        </w:rPr>
      </w:pPr>
      <w:r>
        <w:rPr>
          <w:rFonts w:cs="Courier"/>
          <w:lang w:val="fr-FR" w:eastAsia="en-US"/>
        </w:rPr>
        <w:t xml:space="preserve">Nous parlons donc de l’imposition d’un revenu une fois les transferts sociaux effectués. </w:t>
      </w:r>
      <w:r w:rsidR="000139FF">
        <w:rPr>
          <w:rFonts w:cs="Courier"/>
          <w:lang w:val="fr-FR" w:eastAsia="en-US"/>
        </w:rPr>
        <w:t xml:space="preserve">A la différence d’autres études </w:t>
      </w:r>
      <w:r w:rsidR="00E81564">
        <w:rPr>
          <w:rFonts w:cs="Courier"/>
          <w:lang w:val="fr-FR" w:eastAsia="en-US"/>
        </w:rPr>
        <w:t xml:space="preserve">(Piketty, Landais et </w:t>
      </w:r>
      <w:proofErr w:type="spellStart"/>
      <w:r w:rsidR="00E81564">
        <w:rPr>
          <w:rFonts w:cs="Courier"/>
          <w:lang w:val="fr-FR" w:eastAsia="en-US"/>
        </w:rPr>
        <w:t>Saez</w:t>
      </w:r>
      <w:proofErr w:type="spellEnd"/>
      <w:r w:rsidR="0028093F">
        <w:rPr>
          <w:rStyle w:val="FootnoteReference"/>
          <w:rFonts w:cs="Courier"/>
          <w:lang w:val="fr-FR" w:eastAsia="en-US"/>
        </w:rPr>
        <w:footnoteReference w:id="1"/>
      </w:r>
      <w:r w:rsidR="00E81564">
        <w:rPr>
          <w:rFonts w:cs="Courier"/>
          <w:lang w:val="fr-FR" w:eastAsia="en-US"/>
        </w:rPr>
        <w:t xml:space="preserve">  par exemple) l</w:t>
      </w:r>
      <w:r>
        <w:rPr>
          <w:rFonts w:cs="Courier"/>
          <w:lang w:val="fr-FR" w:eastAsia="en-US"/>
        </w:rPr>
        <w:t xml:space="preserve">es cotisations sociales </w:t>
      </w:r>
      <w:r w:rsidR="000F307E">
        <w:rPr>
          <w:rFonts w:cs="Courier"/>
          <w:lang w:val="fr-FR" w:eastAsia="en-US"/>
        </w:rPr>
        <w:t xml:space="preserve"> ne sont donc pas</w:t>
      </w:r>
      <w:r>
        <w:rPr>
          <w:rFonts w:cs="Courier"/>
          <w:lang w:val="fr-FR" w:eastAsia="en-US"/>
        </w:rPr>
        <w:t xml:space="preserve"> prises en compte en tant qu’</w:t>
      </w:r>
      <w:r w:rsidR="000F307E">
        <w:rPr>
          <w:rFonts w:cs="Courier"/>
          <w:lang w:val="fr-FR" w:eastAsia="en-US"/>
        </w:rPr>
        <w:t>impôts</w:t>
      </w:r>
      <w:r>
        <w:rPr>
          <w:rFonts w:cs="Courier"/>
          <w:lang w:val="fr-FR" w:eastAsia="en-US"/>
        </w:rPr>
        <w:t xml:space="preserve"> dans </w:t>
      </w:r>
      <w:r w:rsidR="000139FF">
        <w:rPr>
          <w:rFonts w:cs="Courier"/>
          <w:lang w:val="fr-FR" w:eastAsia="en-US"/>
        </w:rPr>
        <w:t>ce</w:t>
      </w:r>
      <w:r w:rsidR="0078457D">
        <w:rPr>
          <w:rFonts w:cs="Courier"/>
          <w:lang w:val="fr-FR" w:eastAsia="en-US"/>
        </w:rPr>
        <w:t xml:space="preserve"> « rapport »</w:t>
      </w:r>
      <w:r>
        <w:rPr>
          <w:rFonts w:cs="Courier"/>
          <w:lang w:val="fr-FR" w:eastAsia="en-US"/>
        </w:rPr>
        <w:t>.</w:t>
      </w:r>
      <w:r w:rsidR="00860692">
        <w:rPr>
          <w:rFonts w:cs="Courier"/>
          <w:lang w:val="fr-FR" w:eastAsia="en-US"/>
        </w:rPr>
        <w:t xml:space="preserve"> Car l</w:t>
      </w:r>
      <w:r w:rsidR="00E81564">
        <w:rPr>
          <w:rFonts w:cs="Courier"/>
          <w:lang w:val="fr-FR" w:eastAsia="en-US"/>
        </w:rPr>
        <w:t xml:space="preserve">es cotisations sociales sont de la valeur mutualisée qui nous revient sous forme de protection sociale (Maladie, famille, chômage, retraite, etc.). </w:t>
      </w:r>
    </w:p>
    <w:p w14:paraId="7F518364" w14:textId="77777777" w:rsidR="006B7915" w:rsidRDefault="006B7915" w:rsidP="006B7915">
      <w:pPr>
        <w:rPr>
          <w:rFonts w:cs="Courier"/>
          <w:lang w:val="fr-FR" w:eastAsia="en-US"/>
        </w:rPr>
      </w:pPr>
      <w:r>
        <w:rPr>
          <w:rFonts w:cs="Courier"/>
          <w:lang w:val="fr-FR" w:eastAsia="en-US"/>
        </w:rPr>
        <w:t>Pour chacun des</w:t>
      </w:r>
      <w:r w:rsidRPr="00046362">
        <w:rPr>
          <w:rFonts w:cs="Courier"/>
          <w:lang w:val="fr-FR" w:eastAsia="en-US"/>
        </w:rPr>
        <w:t xml:space="preserve"> </w:t>
      </w:r>
      <w:r>
        <w:rPr>
          <w:rFonts w:cs="Courier"/>
          <w:lang w:val="fr-FR" w:eastAsia="en-US"/>
        </w:rPr>
        <w:t>dé</w:t>
      </w:r>
      <w:r w:rsidRPr="00046362">
        <w:rPr>
          <w:rFonts w:cs="Courier"/>
          <w:lang w:val="fr-FR" w:eastAsia="en-US"/>
        </w:rPr>
        <w:t xml:space="preserve">ciles </w:t>
      </w:r>
      <w:r>
        <w:rPr>
          <w:rFonts w:cs="Courier"/>
          <w:lang w:val="fr-FR" w:eastAsia="en-US"/>
        </w:rPr>
        <w:t>peut être calculé un</w:t>
      </w:r>
      <w:r w:rsidRPr="00046362">
        <w:rPr>
          <w:rFonts w:cs="Courier"/>
          <w:lang w:val="fr-FR" w:eastAsia="en-US"/>
        </w:rPr>
        <w:t xml:space="preserve"> </w:t>
      </w:r>
      <w:r>
        <w:rPr>
          <w:rFonts w:cs="Courier"/>
          <w:lang w:val="fr-FR" w:eastAsia="en-US"/>
        </w:rPr>
        <w:t>revenu</w:t>
      </w:r>
      <w:r w:rsidRPr="00046362">
        <w:rPr>
          <w:rFonts w:cs="Courier"/>
          <w:lang w:val="fr-FR" w:eastAsia="en-US"/>
        </w:rPr>
        <w:t xml:space="preserve"> disponible moyen </w:t>
      </w:r>
      <w:r w:rsidRPr="000F307E">
        <w:rPr>
          <w:rFonts w:cs="Courier"/>
          <w:b/>
          <w:lang w:val="fr-FR" w:eastAsia="en-US"/>
        </w:rPr>
        <w:t>(</w:t>
      </w:r>
      <w:r>
        <w:rPr>
          <w:rFonts w:cs="Courier"/>
          <w:b/>
          <w:lang w:val="fr-FR" w:eastAsia="en-US"/>
        </w:rPr>
        <w:t xml:space="preserve">Voir </w:t>
      </w:r>
      <w:r w:rsidRPr="000F307E">
        <w:rPr>
          <w:rFonts w:cs="Courier"/>
          <w:b/>
          <w:lang w:val="fr-FR" w:eastAsia="en-US"/>
        </w:rPr>
        <w:t xml:space="preserve">Tableau </w:t>
      </w:r>
      <w:r>
        <w:rPr>
          <w:rFonts w:cs="Courier"/>
          <w:b/>
          <w:lang w:val="fr-FR" w:eastAsia="en-US"/>
        </w:rPr>
        <w:t>1</w:t>
      </w:r>
      <w:r w:rsidRPr="000F307E">
        <w:rPr>
          <w:rFonts w:cs="Courier"/>
          <w:b/>
          <w:lang w:val="fr-FR" w:eastAsia="en-US"/>
        </w:rPr>
        <w:t>)</w:t>
      </w:r>
      <w:r w:rsidRPr="00046362">
        <w:rPr>
          <w:rFonts w:cs="Courier"/>
          <w:lang w:val="fr-FR" w:eastAsia="en-US"/>
        </w:rPr>
        <w:t xml:space="preserve">. </w:t>
      </w:r>
      <w:r>
        <w:rPr>
          <w:rFonts w:cs="Courier"/>
          <w:lang w:val="fr-FR" w:eastAsia="en-US"/>
        </w:rPr>
        <w:t xml:space="preserve">Les 10% les plus pauvres touchent en moyenne 1015 euros par mois, soit 12180 euros par an. </w:t>
      </w:r>
    </w:p>
    <w:p w14:paraId="752A9088" w14:textId="77777777" w:rsidR="006B7915" w:rsidRDefault="006B7915" w:rsidP="005C1634">
      <w:pPr>
        <w:rPr>
          <w:rFonts w:cs="Courier"/>
          <w:lang w:val="fr-FR" w:eastAsia="en-US"/>
        </w:rPr>
      </w:pPr>
    </w:p>
    <w:p w14:paraId="7CF79F53" w14:textId="77777777" w:rsidR="005C1634" w:rsidRDefault="005C1634" w:rsidP="005C1634">
      <w:pPr>
        <w:rPr>
          <w:rFonts w:cs="Courier"/>
          <w:lang w:val="fr-FR" w:eastAsia="en-US"/>
        </w:rPr>
      </w:pPr>
    </w:p>
    <w:p w14:paraId="42A81EF9" w14:textId="77777777" w:rsidR="00CA1E24" w:rsidRDefault="00CA1E24" w:rsidP="005C1634">
      <w:pPr>
        <w:rPr>
          <w:rFonts w:cs="Courier"/>
          <w:lang w:val="fr-FR" w:eastAsia="en-US"/>
        </w:rPr>
      </w:pPr>
    </w:p>
    <w:p w14:paraId="7A276028" w14:textId="77777777" w:rsidR="008C4D2E" w:rsidRDefault="008C4D2E" w:rsidP="005C1634">
      <w:pPr>
        <w:rPr>
          <w:rFonts w:cs="Courier"/>
          <w:lang w:val="fr-FR" w:eastAsia="en-US"/>
        </w:rPr>
      </w:pPr>
    </w:p>
    <w:p w14:paraId="53A0C99A" w14:textId="77777777" w:rsidR="008C4D2E" w:rsidRDefault="008C4D2E" w:rsidP="005C1634">
      <w:pPr>
        <w:rPr>
          <w:rFonts w:cs="Courier"/>
          <w:lang w:val="fr-FR" w:eastAsia="en-US"/>
        </w:rPr>
      </w:pPr>
    </w:p>
    <w:p w14:paraId="5A630883" w14:textId="77777777" w:rsidR="008C4D2E" w:rsidRDefault="008C4D2E" w:rsidP="005C1634">
      <w:pPr>
        <w:rPr>
          <w:rFonts w:cs="Courier"/>
          <w:lang w:val="fr-FR" w:eastAsia="en-US"/>
        </w:rPr>
      </w:pPr>
    </w:p>
    <w:p w14:paraId="46B91EFB" w14:textId="77777777" w:rsidR="00860692" w:rsidRDefault="00860692" w:rsidP="005C1634">
      <w:pPr>
        <w:rPr>
          <w:rFonts w:cs="Courier"/>
          <w:b/>
          <w:i/>
          <w:u w:val="single"/>
          <w:lang w:val="fr-FR" w:eastAsia="en-US"/>
        </w:rPr>
      </w:pPr>
    </w:p>
    <w:p w14:paraId="46E66BEF" w14:textId="77777777" w:rsidR="005C1634" w:rsidRPr="005C1634" w:rsidRDefault="005C1634" w:rsidP="005C1634">
      <w:pPr>
        <w:rPr>
          <w:rFonts w:cs="Courier"/>
          <w:b/>
          <w:i/>
          <w:u w:val="single"/>
          <w:lang w:val="fr-FR" w:eastAsia="en-US"/>
        </w:rPr>
      </w:pPr>
      <w:r w:rsidRPr="005C1634">
        <w:rPr>
          <w:rFonts w:cs="Courier"/>
          <w:b/>
          <w:i/>
          <w:u w:val="single"/>
          <w:lang w:val="fr-FR" w:eastAsia="en-US"/>
        </w:rPr>
        <w:lastRenderedPageBreak/>
        <w:t>Tableau 1 :</w:t>
      </w:r>
    </w:p>
    <w:tbl>
      <w:tblPr>
        <w:tblW w:w="7180" w:type="dxa"/>
        <w:jc w:val="center"/>
        <w:tblInd w:w="60" w:type="dxa"/>
        <w:tblCellMar>
          <w:left w:w="70" w:type="dxa"/>
          <w:right w:w="70" w:type="dxa"/>
        </w:tblCellMar>
        <w:tblLook w:val="04A0" w:firstRow="1" w:lastRow="0" w:firstColumn="1" w:lastColumn="0" w:noHBand="0" w:noVBand="1"/>
      </w:tblPr>
      <w:tblGrid>
        <w:gridCol w:w="1560"/>
        <w:gridCol w:w="2560"/>
        <w:gridCol w:w="3060"/>
      </w:tblGrid>
      <w:tr w:rsidR="002D3336" w:rsidRPr="002D3336" w14:paraId="0C9B1508" w14:textId="77777777" w:rsidTr="002D3336">
        <w:trPr>
          <w:trHeight w:val="315"/>
          <w:jc w:val="center"/>
        </w:trPr>
        <w:tc>
          <w:tcPr>
            <w:tcW w:w="15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0C7871E" w14:textId="77777777" w:rsidR="002D3336" w:rsidRPr="002D3336" w:rsidRDefault="002D3336" w:rsidP="002D3336">
            <w:pPr>
              <w:spacing w:after="0"/>
              <w:jc w:val="center"/>
              <w:rPr>
                <w:rFonts w:ascii="Calibri" w:eastAsia="Times New Roman" w:hAnsi="Calibri" w:cs="Calibri"/>
                <w:b/>
                <w:bCs/>
                <w:i/>
                <w:iCs/>
                <w:color w:val="000000"/>
                <w:sz w:val="22"/>
                <w:szCs w:val="22"/>
                <w:lang w:val="fr-FR" w:eastAsia="fr-FR"/>
              </w:rPr>
            </w:pPr>
            <w:r>
              <w:rPr>
                <w:rFonts w:ascii="Calibri" w:eastAsia="Times New Roman" w:hAnsi="Calibri" w:cs="Calibri"/>
                <w:b/>
                <w:bCs/>
                <w:i/>
                <w:iCs/>
                <w:color w:val="000000"/>
                <w:sz w:val="22"/>
                <w:szCs w:val="22"/>
                <w:lang w:val="fr-FR" w:eastAsia="fr-FR"/>
              </w:rPr>
              <w:t>Déciles</w:t>
            </w:r>
          </w:p>
        </w:tc>
        <w:tc>
          <w:tcPr>
            <w:tcW w:w="2560" w:type="dxa"/>
            <w:tcBorders>
              <w:top w:val="single" w:sz="8" w:space="0" w:color="auto"/>
              <w:left w:val="nil"/>
              <w:bottom w:val="single" w:sz="8" w:space="0" w:color="auto"/>
              <w:right w:val="single" w:sz="8" w:space="0" w:color="auto"/>
            </w:tcBorders>
            <w:shd w:val="clear" w:color="000000" w:fill="FFFFFF"/>
            <w:noWrap/>
            <w:vAlign w:val="bottom"/>
            <w:hideMark/>
          </w:tcPr>
          <w:p w14:paraId="519754D3" w14:textId="77777777" w:rsidR="002D3336" w:rsidRPr="002D3336" w:rsidRDefault="002D3336" w:rsidP="002D3336">
            <w:pPr>
              <w:spacing w:after="0"/>
              <w:jc w:val="center"/>
              <w:rPr>
                <w:rFonts w:ascii="Calibri" w:eastAsia="Times New Roman" w:hAnsi="Calibri" w:cs="Calibri"/>
                <w:b/>
                <w:bCs/>
                <w:i/>
                <w:iCs/>
                <w:color w:val="000000"/>
                <w:sz w:val="22"/>
                <w:szCs w:val="22"/>
                <w:lang w:val="fr-FR" w:eastAsia="fr-FR"/>
              </w:rPr>
            </w:pPr>
            <w:r w:rsidRPr="002D3336">
              <w:rPr>
                <w:rFonts w:ascii="Calibri" w:eastAsia="Times New Roman" w:hAnsi="Calibri" w:cs="Calibri"/>
                <w:b/>
                <w:bCs/>
                <w:i/>
                <w:iCs/>
                <w:color w:val="000000"/>
                <w:sz w:val="22"/>
                <w:szCs w:val="22"/>
                <w:lang w:val="fr-FR" w:eastAsia="fr-FR"/>
              </w:rPr>
              <w:t xml:space="preserve">Revenu </w:t>
            </w:r>
            <w:r w:rsidR="000A243D">
              <w:rPr>
                <w:rFonts w:ascii="Calibri" w:eastAsia="Times New Roman" w:hAnsi="Calibri" w:cs="Calibri"/>
                <w:b/>
                <w:bCs/>
                <w:i/>
                <w:iCs/>
                <w:color w:val="000000"/>
                <w:sz w:val="22"/>
                <w:szCs w:val="22"/>
                <w:lang w:val="fr-FR" w:eastAsia="fr-FR"/>
              </w:rPr>
              <w:t xml:space="preserve">moyen </w:t>
            </w:r>
            <w:r>
              <w:rPr>
                <w:rFonts w:ascii="Calibri" w:eastAsia="Times New Roman" w:hAnsi="Calibri" w:cs="Calibri"/>
                <w:b/>
                <w:bCs/>
                <w:i/>
                <w:iCs/>
                <w:color w:val="000000"/>
                <w:sz w:val="22"/>
                <w:szCs w:val="22"/>
                <w:lang w:val="fr-FR" w:eastAsia="fr-FR"/>
              </w:rPr>
              <w:t xml:space="preserve">disponible par </w:t>
            </w:r>
            <w:r w:rsidR="000A243D">
              <w:rPr>
                <w:rFonts w:ascii="Calibri" w:eastAsia="Times New Roman" w:hAnsi="Calibri" w:cs="Calibri"/>
                <w:b/>
                <w:bCs/>
                <w:i/>
                <w:iCs/>
                <w:color w:val="000000"/>
                <w:sz w:val="22"/>
                <w:szCs w:val="22"/>
                <w:lang w:val="fr-FR" w:eastAsia="fr-FR"/>
              </w:rPr>
              <w:t xml:space="preserve">ménage par </w:t>
            </w:r>
            <w:r>
              <w:rPr>
                <w:rFonts w:ascii="Calibri" w:eastAsia="Times New Roman" w:hAnsi="Calibri" w:cs="Calibri"/>
                <w:b/>
                <w:bCs/>
                <w:i/>
                <w:iCs/>
                <w:color w:val="000000"/>
                <w:sz w:val="22"/>
                <w:szCs w:val="22"/>
                <w:lang w:val="fr-FR" w:eastAsia="fr-FR"/>
              </w:rPr>
              <w:t>mois en euros</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14:paraId="359E1512" w14:textId="77777777" w:rsidR="002D3336" w:rsidRPr="002D3336" w:rsidRDefault="002D3336" w:rsidP="002D3336">
            <w:pPr>
              <w:spacing w:after="0"/>
              <w:jc w:val="center"/>
              <w:rPr>
                <w:rFonts w:ascii="Calibri" w:eastAsia="Times New Roman" w:hAnsi="Calibri" w:cs="Calibri"/>
                <w:b/>
                <w:bCs/>
                <w:i/>
                <w:iCs/>
                <w:color w:val="000000"/>
                <w:sz w:val="22"/>
                <w:szCs w:val="22"/>
                <w:lang w:val="fr-FR" w:eastAsia="fr-FR"/>
              </w:rPr>
            </w:pPr>
            <w:r w:rsidRPr="002D3336">
              <w:rPr>
                <w:rFonts w:ascii="Calibri" w:eastAsia="Times New Roman" w:hAnsi="Calibri" w:cs="Calibri"/>
                <w:b/>
                <w:bCs/>
                <w:i/>
                <w:iCs/>
                <w:color w:val="000000"/>
                <w:sz w:val="22"/>
                <w:szCs w:val="22"/>
                <w:lang w:val="fr-FR" w:eastAsia="fr-FR"/>
              </w:rPr>
              <w:t xml:space="preserve">Revenu </w:t>
            </w:r>
            <w:r w:rsidR="000A243D">
              <w:rPr>
                <w:rFonts w:ascii="Calibri" w:eastAsia="Times New Roman" w:hAnsi="Calibri" w:cs="Calibri"/>
                <w:b/>
                <w:bCs/>
                <w:i/>
                <w:iCs/>
                <w:color w:val="000000"/>
                <w:sz w:val="22"/>
                <w:szCs w:val="22"/>
                <w:lang w:val="fr-FR" w:eastAsia="fr-FR"/>
              </w:rPr>
              <w:t xml:space="preserve">moyen </w:t>
            </w:r>
            <w:r>
              <w:rPr>
                <w:rFonts w:ascii="Calibri" w:eastAsia="Times New Roman" w:hAnsi="Calibri" w:cs="Calibri"/>
                <w:b/>
                <w:bCs/>
                <w:i/>
                <w:iCs/>
                <w:color w:val="000000"/>
                <w:sz w:val="22"/>
                <w:szCs w:val="22"/>
                <w:lang w:val="fr-FR" w:eastAsia="fr-FR"/>
              </w:rPr>
              <w:t xml:space="preserve">disponible par </w:t>
            </w:r>
            <w:r w:rsidR="000A243D">
              <w:rPr>
                <w:rFonts w:ascii="Calibri" w:eastAsia="Times New Roman" w:hAnsi="Calibri" w:cs="Calibri"/>
                <w:b/>
                <w:bCs/>
                <w:i/>
                <w:iCs/>
                <w:color w:val="000000"/>
                <w:sz w:val="22"/>
                <w:szCs w:val="22"/>
                <w:lang w:val="fr-FR" w:eastAsia="fr-FR"/>
              </w:rPr>
              <w:t xml:space="preserve">ménage par </w:t>
            </w:r>
            <w:r>
              <w:rPr>
                <w:rFonts w:ascii="Calibri" w:eastAsia="Times New Roman" w:hAnsi="Calibri" w:cs="Calibri"/>
                <w:b/>
                <w:bCs/>
                <w:i/>
                <w:iCs/>
                <w:color w:val="000000"/>
                <w:sz w:val="22"/>
                <w:szCs w:val="22"/>
                <w:lang w:val="fr-FR" w:eastAsia="fr-FR"/>
              </w:rPr>
              <w:t>an  en euros</w:t>
            </w:r>
          </w:p>
        </w:tc>
      </w:tr>
      <w:tr w:rsidR="002D3336" w:rsidRPr="002D3336" w14:paraId="64B4F6F7"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34827DF1"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w:t>
            </w:r>
          </w:p>
        </w:tc>
        <w:tc>
          <w:tcPr>
            <w:tcW w:w="2560" w:type="dxa"/>
            <w:tcBorders>
              <w:top w:val="nil"/>
              <w:left w:val="nil"/>
              <w:bottom w:val="single" w:sz="8" w:space="0" w:color="auto"/>
              <w:right w:val="single" w:sz="8" w:space="0" w:color="auto"/>
            </w:tcBorders>
            <w:shd w:val="clear" w:color="000000" w:fill="FFFFFF"/>
            <w:noWrap/>
            <w:vAlign w:val="bottom"/>
            <w:hideMark/>
          </w:tcPr>
          <w:p w14:paraId="0D265C92"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1015</w:t>
            </w:r>
          </w:p>
        </w:tc>
        <w:tc>
          <w:tcPr>
            <w:tcW w:w="3060" w:type="dxa"/>
            <w:tcBorders>
              <w:top w:val="nil"/>
              <w:left w:val="nil"/>
              <w:bottom w:val="single" w:sz="8" w:space="0" w:color="auto"/>
              <w:right w:val="single" w:sz="8" w:space="0" w:color="auto"/>
            </w:tcBorders>
            <w:shd w:val="clear" w:color="auto" w:fill="auto"/>
            <w:noWrap/>
            <w:vAlign w:val="bottom"/>
            <w:hideMark/>
          </w:tcPr>
          <w:p w14:paraId="13BA1499"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12180</w:t>
            </w:r>
          </w:p>
        </w:tc>
      </w:tr>
      <w:tr w:rsidR="002D3336" w:rsidRPr="002D3336" w14:paraId="61B56A22"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0D734337"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w:t>
            </w:r>
          </w:p>
        </w:tc>
        <w:tc>
          <w:tcPr>
            <w:tcW w:w="2560" w:type="dxa"/>
            <w:tcBorders>
              <w:top w:val="nil"/>
              <w:left w:val="nil"/>
              <w:bottom w:val="single" w:sz="8" w:space="0" w:color="auto"/>
              <w:right w:val="single" w:sz="8" w:space="0" w:color="auto"/>
            </w:tcBorders>
            <w:shd w:val="clear" w:color="auto" w:fill="auto"/>
            <w:noWrap/>
            <w:vAlign w:val="bottom"/>
            <w:hideMark/>
          </w:tcPr>
          <w:p w14:paraId="19E6548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1513</w:t>
            </w:r>
          </w:p>
        </w:tc>
        <w:tc>
          <w:tcPr>
            <w:tcW w:w="3060" w:type="dxa"/>
            <w:tcBorders>
              <w:top w:val="nil"/>
              <w:left w:val="nil"/>
              <w:bottom w:val="single" w:sz="8" w:space="0" w:color="auto"/>
              <w:right w:val="single" w:sz="8" w:space="0" w:color="auto"/>
            </w:tcBorders>
            <w:shd w:val="clear" w:color="auto" w:fill="auto"/>
            <w:noWrap/>
            <w:vAlign w:val="bottom"/>
            <w:hideMark/>
          </w:tcPr>
          <w:p w14:paraId="34454D5B"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18160</w:t>
            </w:r>
          </w:p>
        </w:tc>
      </w:tr>
      <w:tr w:rsidR="002D3336" w:rsidRPr="002D3336" w14:paraId="1705048B"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07B57E89"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3</w:t>
            </w:r>
          </w:p>
        </w:tc>
        <w:tc>
          <w:tcPr>
            <w:tcW w:w="2560" w:type="dxa"/>
            <w:tcBorders>
              <w:top w:val="nil"/>
              <w:left w:val="nil"/>
              <w:bottom w:val="single" w:sz="8" w:space="0" w:color="auto"/>
              <w:right w:val="single" w:sz="8" w:space="0" w:color="auto"/>
            </w:tcBorders>
            <w:shd w:val="clear" w:color="auto" w:fill="auto"/>
            <w:noWrap/>
            <w:vAlign w:val="bottom"/>
            <w:hideMark/>
          </w:tcPr>
          <w:p w14:paraId="58C3FBA0"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1806</w:t>
            </w:r>
          </w:p>
        </w:tc>
        <w:tc>
          <w:tcPr>
            <w:tcW w:w="3060" w:type="dxa"/>
            <w:tcBorders>
              <w:top w:val="nil"/>
              <w:left w:val="nil"/>
              <w:bottom w:val="single" w:sz="8" w:space="0" w:color="auto"/>
              <w:right w:val="single" w:sz="8" w:space="0" w:color="auto"/>
            </w:tcBorders>
            <w:shd w:val="clear" w:color="auto" w:fill="auto"/>
            <w:noWrap/>
            <w:vAlign w:val="bottom"/>
            <w:hideMark/>
          </w:tcPr>
          <w:p w14:paraId="71990941"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21670</w:t>
            </w:r>
          </w:p>
        </w:tc>
      </w:tr>
      <w:tr w:rsidR="002D3336" w:rsidRPr="002D3336" w14:paraId="6939AC38"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368BFAC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4</w:t>
            </w:r>
          </w:p>
        </w:tc>
        <w:tc>
          <w:tcPr>
            <w:tcW w:w="2560" w:type="dxa"/>
            <w:tcBorders>
              <w:top w:val="nil"/>
              <w:left w:val="nil"/>
              <w:bottom w:val="single" w:sz="8" w:space="0" w:color="auto"/>
              <w:right w:val="single" w:sz="8" w:space="0" w:color="auto"/>
            </w:tcBorders>
            <w:shd w:val="clear" w:color="auto" w:fill="auto"/>
            <w:noWrap/>
            <w:vAlign w:val="bottom"/>
            <w:hideMark/>
          </w:tcPr>
          <w:p w14:paraId="33205333"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2040</w:t>
            </w:r>
          </w:p>
        </w:tc>
        <w:tc>
          <w:tcPr>
            <w:tcW w:w="3060" w:type="dxa"/>
            <w:tcBorders>
              <w:top w:val="nil"/>
              <w:left w:val="nil"/>
              <w:bottom w:val="single" w:sz="8" w:space="0" w:color="auto"/>
              <w:right w:val="single" w:sz="8" w:space="0" w:color="auto"/>
            </w:tcBorders>
            <w:shd w:val="clear" w:color="auto" w:fill="auto"/>
            <w:noWrap/>
            <w:vAlign w:val="bottom"/>
            <w:hideMark/>
          </w:tcPr>
          <w:p w14:paraId="7A249A20"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24480</w:t>
            </w:r>
          </w:p>
        </w:tc>
      </w:tr>
      <w:tr w:rsidR="002D3336" w:rsidRPr="002D3336" w14:paraId="32B2E110"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6490BE14"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5</w:t>
            </w:r>
          </w:p>
        </w:tc>
        <w:tc>
          <w:tcPr>
            <w:tcW w:w="2560" w:type="dxa"/>
            <w:tcBorders>
              <w:top w:val="nil"/>
              <w:left w:val="nil"/>
              <w:bottom w:val="single" w:sz="8" w:space="0" w:color="auto"/>
              <w:right w:val="single" w:sz="8" w:space="0" w:color="auto"/>
            </w:tcBorders>
            <w:shd w:val="clear" w:color="auto" w:fill="auto"/>
            <w:noWrap/>
            <w:vAlign w:val="bottom"/>
            <w:hideMark/>
          </w:tcPr>
          <w:p w14:paraId="1FD8E80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2364</w:t>
            </w:r>
          </w:p>
        </w:tc>
        <w:tc>
          <w:tcPr>
            <w:tcW w:w="3060" w:type="dxa"/>
            <w:tcBorders>
              <w:top w:val="nil"/>
              <w:left w:val="nil"/>
              <w:bottom w:val="single" w:sz="8" w:space="0" w:color="auto"/>
              <w:right w:val="single" w:sz="8" w:space="0" w:color="auto"/>
            </w:tcBorders>
            <w:shd w:val="clear" w:color="auto" w:fill="auto"/>
            <w:noWrap/>
            <w:vAlign w:val="bottom"/>
            <w:hideMark/>
          </w:tcPr>
          <w:p w14:paraId="5F49F117"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28370</w:t>
            </w:r>
          </w:p>
        </w:tc>
      </w:tr>
      <w:tr w:rsidR="002D3336" w:rsidRPr="002D3336" w14:paraId="20F31457"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1370F742"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6</w:t>
            </w:r>
          </w:p>
        </w:tc>
        <w:tc>
          <w:tcPr>
            <w:tcW w:w="2560" w:type="dxa"/>
            <w:tcBorders>
              <w:top w:val="nil"/>
              <w:left w:val="nil"/>
              <w:bottom w:val="single" w:sz="8" w:space="0" w:color="auto"/>
              <w:right w:val="single" w:sz="8" w:space="0" w:color="auto"/>
            </w:tcBorders>
            <w:shd w:val="clear" w:color="auto" w:fill="auto"/>
            <w:noWrap/>
            <w:vAlign w:val="bottom"/>
            <w:hideMark/>
          </w:tcPr>
          <w:p w14:paraId="6FCA6DA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2716</w:t>
            </w:r>
          </w:p>
        </w:tc>
        <w:tc>
          <w:tcPr>
            <w:tcW w:w="3060" w:type="dxa"/>
            <w:tcBorders>
              <w:top w:val="nil"/>
              <w:left w:val="nil"/>
              <w:bottom w:val="single" w:sz="8" w:space="0" w:color="auto"/>
              <w:right w:val="single" w:sz="8" w:space="0" w:color="auto"/>
            </w:tcBorders>
            <w:shd w:val="clear" w:color="auto" w:fill="auto"/>
            <w:noWrap/>
            <w:vAlign w:val="bottom"/>
            <w:hideMark/>
          </w:tcPr>
          <w:p w14:paraId="43DD6EDE"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32590</w:t>
            </w:r>
          </w:p>
        </w:tc>
      </w:tr>
      <w:tr w:rsidR="002D3336" w:rsidRPr="002D3336" w14:paraId="4CE4A503"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28601158"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7</w:t>
            </w:r>
          </w:p>
        </w:tc>
        <w:tc>
          <w:tcPr>
            <w:tcW w:w="2560" w:type="dxa"/>
            <w:tcBorders>
              <w:top w:val="nil"/>
              <w:left w:val="nil"/>
              <w:bottom w:val="single" w:sz="8" w:space="0" w:color="auto"/>
              <w:right w:val="single" w:sz="8" w:space="0" w:color="auto"/>
            </w:tcBorders>
            <w:shd w:val="clear" w:color="auto" w:fill="auto"/>
            <w:noWrap/>
            <w:vAlign w:val="bottom"/>
            <w:hideMark/>
          </w:tcPr>
          <w:p w14:paraId="0886183E"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3086</w:t>
            </w:r>
          </w:p>
        </w:tc>
        <w:tc>
          <w:tcPr>
            <w:tcW w:w="3060" w:type="dxa"/>
            <w:tcBorders>
              <w:top w:val="nil"/>
              <w:left w:val="nil"/>
              <w:bottom w:val="single" w:sz="8" w:space="0" w:color="auto"/>
              <w:right w:val="single" w:sz="8" w:space="0" w:color="auto"/>
            </w:tcBorders>
            <w:shd w:val="clear" w:color="auto" w:fill="auto"/>
            <w:noWrap/>
            <w:vAlign w:val="bottom"/>
            <w:hideMark/>
          </w:tcPr>
          <w:p w14:paraId="1B5CA9A3"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37030</w:t>
            </w:r>
          </w:p>
        </w:tc>
      </w:tr>
      <w:tr w:rsidR="002D3336" w:rsidRPr="002D3336" w14:paraId="51F23350"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7A9B32E9"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8</w:t>
            </w:r>
          </w:p>
        </w:tc>
        <w:tc>
          <w:tcPr>
            <w:tcW w:w="2560" w:type="dxa"/>
            <w:tcBorders>
              <w:top w:val="nil"/>
              <w:left w:val="nil"/>
              <w:bottom w:val="single" w:sz="8" w:space="0" w:color="auto"/>
              <w:right w:val="single" w:sz="8" w:space="0" w:color="auto"/>
            </w:tcBorders>
            <w:shd w:val="clear" w:color="auto" w:fill="auto"/>
            <w:noWrap/>
            <w:vAlign w:val="bottom"/>
            <w:hideMark/>
          </w:tcPr>
          <w:p w14:paraId="2EFD1825"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3515</w:t>
            </w:r>
          </w:p>
        </w:tc>
        <w:tc>
          <w:tcPr>
            <w:tcW w:w="3060" w:type="dxa"/>
            <w:tcBorders>
              <w:top w:val="nil"/>
              <w:left w:val="nil"/>
              <w:bottom w:val="single" w:sz="8" w:space="0" w:color="auto"/>
              <w:right w:val="single" w:sz="8" w:space="0" w:color="auto"/>
            </w:tcBorders>
            <w:shd w:val="clear" w:color="auto" w:fill="auto"/>
            <w:noWrap/>
            <w:vAlign w:val="bottom"/>
            <w:hideMark/>
          </w:tcPr>
          <w:p w14:paraId="3E9414E4"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42180</w:t>
            </w:r>
          </w:p>
        </w:tc>
      </w:tr>
      <w:tr w:rsidR="002D3336" w:rsidRPr="002D3336" w14:paraId="142EAB24"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53A75EA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9</w:t>
            </w:r>
          </w:p>
        </w:tc>
        <w:tc>
          <w:tcPr>
            <w:tcW w:w="2560" w:type="dxa"/>
            <w:tcBorders>
              <w:top w:val="nil"/>
              <w:left w:val="nil"/>
              <w:bottom w:val="single" w:sz="8" w:space="0" w:color="auto"/>
              <w:right w:val="single" w:sz="8" w:space="0" w:color="auto"/>
            </w:tcBorders>
            <w:shd w:val="clear" w:color="auto" w:fill="auto"/>
            <w:noWrap/>
            <w:vAlign w:val="bottom"/>
            <w:hideMark/>
          </w:tcPr>
          <w:p w14:paraId="56E6F74C"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4258</w:t>
            </w:r>
          </w:p>
        </w:tc>
        <w:tc>
          <w:tcPr>
            <w:tcW w:w="3060" w:type="dxa"/>
            <w:tcBorders>
              <w:top w:val="nil"/>
              <w:left w:val="nil"/>
              <w:bottom w:val="single" w:sz="8" w:space="0" w:color="auto"/>
              <w:right w:val="single" w:sz="8" w:space="0" w:color="auto"/>
            </w:tcBorders>
            <w:shd w:val="clear" w:color="auto" w:fill="auto"/>
            <w:noWrap/>
            <w:vAlign w:val="bottom"/>
            <w:hideMark/>
          </w:tcPr>
          <w:p w14:paraId="75A9F526"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51090</w:t>
            </w:r>
          </w:p>
        </w:tc>
      </w:tr>
      <w:tr w:rsidR="002D3336" w:rsidRPr="002D3336" w14:paraId="445A8BFE" w14:textId="77777777" w:rsidTr="002D3336">
        <w:trPr>
          <w:trHeight w:val="315"/>
          <w:jc w:val="center"/>
        </w:trPr>
        <w:tc>
          <w:tcPr>
            <w:tcW w:w="1560" w:type="dxa"/>
            <w:tcBorders>
              <w:top w:val="nil"/>
              <w:left w:val="single" w:sz="8" w:space="0" w:color="auto"/>
              <w:bottom w:val="single" w:sz="8" w:space="0" w:color="auto"/>
              <w:right w:val="single" w:sz="8" w:space="0" w:color="auto"/>
            </w:tcBorders>
            <w:shd w:val="clear" w:color="000000" w:fill="FFFFFF"/>
            <w:noWrap/>
            <w:vAlign w:val="bottom"/>
            <w:hideMark/>
          </w:tcPr>
          <w:p w14:paraId="5D685320"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10</w:t>
            </w:r>
          </w:p>
        </w:tc>
        <w:tc>
          <w:tcPr>
            <w:tcW w:w="2560" w:type="dxa"/>
            <w:tcBorders>
              <w:top w:val="nil"/>
              <w:left w:val="nil"/>
              <w:bottom w:val="single" w:sz="8" w:space="0" w:color="auto"/>
              <w:right w:val="single" w:sz="8" w:space="0" w:color="auto"/>
            </w:tcBorders>
            <w:shd w:val="clear" w:color="auto" w:fill="auto"/>
            <w:noWrap/>
            <w:vAlign w:val="bottom"/>
            <w:hideMark/>
          </w:tcPr>
          <w:p w14:paraId="0649E4AB"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7792</w:t>
            </w:r>
          </w:p>
        </w:tc>
        <w:tc>
          <w:tcPr>
            <w:tcW w:w="3060" w:type="dxa"/>
            <w:tcBorders>
              <w:top w:val="nil"/>
              <w:left w:val="nil"/>
              <w:bottom w:val="single" w:sz="8" w:space="0" w:color="auto"/>
              <w:right w:val="single" w:sz="8" w:space="0" w:color="auto"/>
            </w:tcBorders>
            <w:shd w:val="clear" w:color="auto" w:fill="auto"/>
            <w:noWrap/>
            <w:vAlign w:val="bottom"/>
            <w:hideMark/>
          </w:tcPr>
          <w:p w14:paraId="5BD63921" w14:textId="77777777" w:rsidR="002D3336" w:rsidRPr="002D3336" w:rsidRDefault="002D3336" w:rsidP="002D3336">
            <w:pPr>
              <w:spacing w:after="0"/>
              <w:jc w:val="center"/>
              <w:rPr>
                <w:rFonts w:ascii="Calibri" w:eastAsia="Times New Roman" w:hAnsi="Calibri" w:cs="Calibri"/>
                <w:color w:val="000000"/>
                <w:sz w:val="22"/>
                <w:szCs w:val="22"/>
                <w:lang w:val="fr-FR" w:eastAsia="fr-FR"/>
              </w:rPr>
            </w:pPr>
            <w:r w:rsidRPr="002D3336">
              <w:rPr>
                <w:rFonts w:ascii="Calibri" w:eastAsia="Times New Roman" w:hAnsi="Calibri" w:cs="Calibri"/>
                <w:color w:val="000000"/>
                <w:sz w:val="22"/>
                <w:szCs w:val="22"/>
                <w:lang w:val="fr-FR" w:eastAsia="fr-FR"/>
              </w:rPr>
              <w:t>93500</w:t>
            </w:r>
          </w:p>
        </w:tc>
      </w:tr>
    </w:tbl>
    <w:p w14:paraId="60B9636B" w14:textId="77777777" w:rsidR="00510613" w:rsidRPr="00625B7C"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4327D909" w14:textId="77777777" w:rsidR="005C1634" w:rsidRDefault="008F0BB6" w:rsidP="005C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Courier"/>
          <w:lang w:val="fr-FR" w:eastAsia="en-US"/>
        </w:rPr>
      </w:pPr>
      <w:r>
        <w:rPr>
          <w:noProof/>
          <w:lang w:val="en-US" w:eastAsia="en-US"/>
        </w:rPr>
        <w:drawing>
          <wp:inline distT="0" distB="0" distL="0" distR="0" wp14:anchorId="343CF62D" wp14:editId="21BCE122">
            <wp:extent cx="4572000" cy="2748642"/>
            <wp:effectExtent l="19050" t="0" r="1905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BE0DF3" w14:textId="77777777" w:rsidR="005C1634" w:rsidRDefault="005C1634" w:rsidP="005C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Courier"/>
          <w:lang w:val="fr-FR" w:eastAsia="en-US"/>
        </w:rPr>
      </w:pPr>
    </w:p>
    <w:p w14:paraId="182A21C2" w14:textId="77777777" w:rsidR="00510613" w:rsidRPr="00625B7C" w:rsidRDefault="008F0BB6" w:rsidP="005C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Courier"/>
          <w:lang w:val="fr-FR" w:eastAsia="en-US"/>
        </w:rPr>
      </w:pPr>
      <w:r>
        <w:rPr>
          <w:noProof/>
          <w:lang w:val="en-US" w:eastAsia="en-US"/>
        </w:rPr>
        <w:drawing>
          <wp:inline distT="0" distB="0" distL="0" distR="0" wp14:anchorId="6615A573" wp14:editId="67790D48">
            <wp:extent cx="4572000" cy="2748642"/>
            <wp:effectExtent l="19050" t="0" r="1905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5DDA55" w14:textId="77777777" w:rsidR="007B2C10" w:rsidRPr="00625B7C" w:rsidRDefault="007B2C10"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28DB3F6" w14:textId="77777777" w:rsidR="006473AD" w:rsidRDefault="006473A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713DD056" w14:textId="77777777" w:rsidR="007B2C10" w:rsidRDefault="00510613" w:rsidP="00A60F6D">
      <w:pPr>
        <w:rPr>
          <w:rFonts w:cs="Courier"/>
          <w:b/>
          <w:sz w:val="28"/>
          <w:szCs w:val="28"/>
          <w:lang w:val="fr-FR" w:eastAsia="en-US"/>
        </w:rPr>
      </w:pPr>
      <w:r w:rsidRPr="0053345F">
        <w:rPr>
          <w:rFonts w:cs="Courier"/>
          <w:b/>
          <w:sz w:val="28"/>
          <w:szCs w:val="28"/>
          <w:lang w:val="fr-FR" w:eastAsia="en-US"/>
        </w:rPr>
        <w:t>Impôt sur le revenu</w:t>
      </w:r>
      <w:r w:rsidR="009F481C" w:rsidRPr="0053345F">
        <w:rPr>
          <w:rFonts w:cs="Courier"/>
          <w:b/>
          <w:sz w:val="28"/>
          <w:szCs w:val="28"/>
          <w:lang w:val="fr-FR" w:eastAsia="en-US"/>
        </w:rPr>
        <w:t> :</w:t>
      </w:r>
    </w:p>
    <w:p w14:paraId="6B6E69A0" w14:textId="77777777" w:rsidR="00CA1E24" w:rsidRDefault="00CA1E24" w:rsidP="00A60F6D">
      <w:pPr>
        <w:rPr>
          <w:rFonts w:cs="Courier"/>
          <w:b/>
          <w:sz w:val="28"/>
          <w:szCs w:val="28"/>
          <w:lang w:val="fr-FR" w:eastAsia="en-US"/>
        </w:rPr>
      </w:pPr>
    </w:p>
    <w:p w14:paraId="05D71F08" w14:textId="77777777" w:rsidR="00CA1E24" w:rsidRDefault="00CA1E24" w:rsidP="00A60F6D">
      <w:pPr>
        <w:rPr>
          <w:rFonts w:cs="Courier"/>
          <w:b/>
          <w:sz w:val="28"/>
          <w:szCs w:val="28"/>
          <w:lang w:val="fr-FR" w:eastAsia="en-US"/>
        </w:rPr>
      </w:pPr>
    </w:p>
    <w:p w14:paraId="28CE2BC8" w14:textId="77777777" w:rsidR="006473AD" w:rsidRDefault="006473A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08726224" w14:textId="77777777" w:rsidR="009F481C" w:rsidRPr="00625B7C" w:rsidRDefault="00860692" w:rsidP="0078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Courier"/>
          <w:lang w:val="fr-FR" w:eastAsia="en-US"/>
        </w:rPr>
      </w:pPr>
      <w:r w:rsidRPr="00860692">
        <w:rPr>
          <w:noProof/>
          <w:lang w:val="en-US" w:eastAsia="en-US"/>
        </w:rPr>
        <w:drawing>
          <wp:inline distT="0" distB="0" distL="0" distR="0" wp14:anchorId="29FF8190" wp14:editId="4A1A3532">
            <wp:extent cx="4572000" cy="2741543"/>
            <wp:effectExtent l="19050" t="0" r="19050" b="1657"/>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2BA152" w14:textId="77777777" w:rsidR="00510613"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4FD8A101" w14:textId="77777777" w:rsidR="009F481C" w:rsidRDefault="009F481C"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44A57183"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1A0099BD"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416B7C3" w14:textId="77777777" w:rsidR="00E65FBD" w:rsidRDefault="009F481C"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 xml:space="preserve">Le premier décile (10 % des plus pauvres) </w:t>
      </w:r>
      <w:r w:rsidR="00E65FBD">
        <w:rPr>
          <w:rFonts w:cs="Courier"/>
          <w:lang w:val="fr-FR" w:eastAsia="en-US"/>
        </w:rPr>
        <w:t>verse</w:t>
      </w:r>
      <w:r w:rsidR="00624F9B">
        <w:rPr>
          <w:rFonts w:cs="Courier"/>
          <w:lang w:val="fr-FR" w:eastAsia="en-US"/>
        </w:rPr>
        <w:t xml:space="preserve"> 0,2 % de leur revenu </w:t>
      </w:r>
      <w:r>
        <w:rPr>
          <w:rFonts w:cs="Courier"/>
          <w:lang w:val="fr-FR" w:eastAsia="en-US"/>
        </w:rPr>
        <w:t>disponible en impôt sur le revenu</w:t>
      </w:r>
      <w:r w:rsidR="00E65FBD">
        <w:rPr>
          <w:rFonts w:cs="Courier"/>
          <w:lang w:val="fr-FR" w:eastAsia="en-US"/>
        </w:rPr>
        <w:t>.</w:t>
      </w:r>
      <w:r w:rsidR="00781B23">
        <w:rPr>
          <w:rFonts w:cs="Courier"/>
          <w:lang w:val="fr-FR" w:eastAsia="en-US"/>
        </w:rPr>
        <w:t xml:space="preserve"> </w:t>
      </w:r>
    </w:p>
    <w:p w14:paraId="16946DFD"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574C3496"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Cette impôt est progressif, plus on gagne plus on paye</w:t>
      </w:r>
      <w:r w:rsidR="006208B5">
        <w:rPr>
          <w:rFonts w:cs="Courier"/>
          <w:lang w:val="fr-FR" w:eastAsia="en-US"/>
        </w:rPr>
        <w:t xml:space="preserve"> en pourcentage du revenu disponible</w:t>
      </w:r>
      <w:r>
        <w:rPr>
          <w:rFonts w:cs="Courier"/>
          <w:lang w:val="fr-FR" w:eastAsia="en-US"/>
        </w:rPr>
        <w:t xml:space="preserve">. </w:t>
      </w:r>
      <w:r w:rsidR="0028141B">
        <w:rPr>
          <w:rFonts w:cs="Courier"/>
          <w:lang w:val="fr-FR" w:eastAsia="en-US"/>
        </w:rPr>
        <w:t xml:space="preserve">Cette forte progressivité (exponentielle) soutient le discours sur le caractère </w:t>
      </w:r>
      <w:proofErr w:type="spellStart"/>
      <w:r w:rsidR="001A7A71">
        <w:rPr>
          <w:rFonts w:cs="Courier"/>
          <w:lang w:val="fr-FR" w:eastAsia="en-US"/>
        </w:rPr>
        <w:t>redistributif</w:t>
      </w:r>
      <w:proofErr w:type="spellEnd"/>
      <w:r w:rsidR="001A7A71">
        <w:rPr>
          <w:rFonts w:cs="Courier"/>
          <w:lang w:val="fr-FR" w:eastAsia="en-US"/>
        </w:rPr>
        <w:t xml:space="preserve"> de l’impôt en France. </w:t>
      </w:r>
      <w:r w:rsidR="00CA1E24">
        <w:rPr>
          <w:rFonts w:cs="Courier"/>
          <w:lang w:val="fr-FR" w:eastAsia="en-US"/>
        </w:rPr>
        <w:t>Il</w:t>
      </w:r>
      <w:r>
        <w:rPr>
          <w:rFonts w:cs="Courier"/>
          <w:lang w:val="fr-FR" w:eastAsia="en-US"/>
        </w:rPr>
        <w:t xml:space="preserve"> n’empêche qu’il </w:t>
      </w:r>
      <w:r w:rsidR="006208B5">
        <w:rPr>
          <w:rFonts w:cs="Courier"/>
          <w:lang w:val="fr-FR" w:eastAsia="en-US"/>
        </w:rPr>
        <w:t>représente une faible part</w:t>
      </w:r>
      <w:r>
        <w:rPr>
          <w:rFonts w:cs="Courier"/>
          <w:lang w:val="fr-FR" w:eastAsia="en-US"/>
        </w:rPr>
        <w:t xml:space="preserve"> de la participation à l’impôt</w:t>
      </w:r>
      <w:r w:rsidR="006208B5">
        <w:rPr>
          <w:rFonts w:cs="Courier"/>
          <w:lang w:val="fr-FR" w:eastAsia="en-US"/>
        </w:rPr>
        <w:t xml:space="preserve"> (20%)</w:t>
      </w:r>
      <w:r>
        <w:rPr>
          <w:rFonts w:cs="Courier"/>
          <w:lang w:val="fr-FR" w:eastAsia="en-US"/>
        </w:rPr>
        <w:t>.</w:t>
      </w:r>
    </w:p>
    <w:p w14:paraId="218A48BE" w14:textId="77777777" w:rsidR="00781B23" w:rsidRDefault="00781B2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51156A3A"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D991EAB"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63A59AB" w14:textId="77777777" w:rsidR="00CA1E24" w:rsidRDefault="00CA1E24">
      <w:pPr>
        <w:rPr>
          <w:rFonts w:cs="Courier"/>
          <w:lang w:val="fr-FR" w:eastAsia="en-US"/>
        </w:rPr>
      </w:pPr>
      <w:r>
        <w:rPr>
          <w:rFonts w:cs="Courier"/>
          <w:lang w:val="fr-FR" w:eastAsia="en-US"/>
        </w:rPr>
        <w:br w:type="page"/>
      </w:r>
    </w:p>
    <w:p w14:paraId="778EBCE6"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9F1C435"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B00FA73"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53345F">
        <w:rPr>
          <w:rFonts w:cs="Courier"/>
          <w:b/>
          <w:sz w:val="28"/>
          <w:szCs w:val="28"/>
          <w:lang w:val="fr-FR" w:eastAsia="en-US"/>
        </w:rPr>
        <w:t>Impôt Sur la Fortune (ISF)</w:t>
      </w:r>
    </w:p>
    <w:p w14:paraId="3F94D569" w14:textId="77777777" w:rsidR="00CA1E24" w:rsidRDefault="00CA1E24"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4BCBE97F" w14:textId="77777777" w:rsidR="00CA1E24" w:rsidRDefault="00CA1E24"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68C98A7F" w14:textId="77777777" w:rsidR="00CA1E24" w:rsidRDefault="00CA1E24"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16D3106B" w14:textId="77777777" w:rsidR="00CA1E24" w:rsidRPr="0053345F" w:rsidRDefault="00CA1E24"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3A298A06"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6A0E803" w14:textId="77777777" w:rsidR="00E65FBD" w:rsidRDefault="00860692"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r w:rsidRPr="00860692">
        <w:rPr>
          <w:rFonts w:cs="Courier"/>
          <w:noProof/>
          <w:sz w:val="20"/>
          <w:szCs w:val="20"/>
          <w:lang w:val="en-US" w:eastAsia="en-US"/>
        </w:rPr>
        <w:drawing>
          <wp:inline distT="0" distB="0" distL="0" distR="0" wp14:anchorId="6A77AEBB" wp14:editId="0C772789">
            <wp:extent cx="4572000" cy="2741544"/>
            <wp:effectExtent l="19050" t="0" r="19050" b="1656"/>
            <wp:docPr id="1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F1A124"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1BFCB0D"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15DD9DEC"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7200254C"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AA3C827"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4842373D"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F4E0C68"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10 % des plus riches verse 1,64 % de leur revenu disponible à l’ISF.</w:t>
      </w:r>
    </w:p>
    <w:p w14:paraId="603EC52D"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31F2F8E" w14:textId="77777777" w:rsidR="00E65FBD"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N’ayant aucune donné sur la redistribution de l’ISF en fonction des déciles nous avons arbitrairement mis l’ensemble de cette impôt au dernier décile.</w:t>
      </w:r>
      <w:r w:rsidR="008807B4">
        <w:rPr>
          <w:rFonts w:cs="Courier"/>
          <w:lang w:val="fr-FR" w:eastAsia="en-US"/>
        </w:rPr>
        <w:t> </w:t>
      </w:r>
    </w:p>
    <w:p w14:paraId="3E703D1E" w14:textId="77777777" w:rsidR="00CA1E24" w:rsidRDefault="00CA1E24">
      <w:pPr>
        <w:rPr>
          <w:rFonts w:cs="Courier"/>
          <w:lang w:val="fr-FR" w:eastAsia="en-US"/>
        </w:rPr>
      </w:pPr>
      <w:r>
        <w:rPr>
          <w:rFonts w:cs="Courier"/>
          <w:lang w:val="fr-FR" w:eastAsia="en-US"/>
        </w:rPr>
        <w:br w:type="page"/>
      </w:r>
    </w:p>
    <w:p w14:paraId="72E57C44"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8DD2AC5" w14:textId="77777777" w:rsidR="00E65FBD" w:rsidRPr="0053345F"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8"/>
          <w:szCs w:val="28"/>
          <w:lang w:val="fr-FR" w:eastAsia="en-US"/>
        </w:rPr>
      </w:pPr>
    </w:p>
    <w:p w14:paraId="07BEC154" w14:textId="77777777" w:rsidR="00510613"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53345F">
        <w:rPr>
          <w:rFonts w:cs="Courier"/>
          <w:b/>
          <w:sz w:val="28"/>
          <w:szCs w:val="28"/>
          <w:lang w:val="fr-FR" w:eastAsia="en-US"/>
        </w:rPr>
        <w:t xml:space="preserve">La </w:t>
      </w:r>
      <w:r w:rsidR="008807B4">
        <w:rPr>
          <w:rFonts w:cs="Courier"/>
          <w:b/>
          <w:sz w:val="28"/>
          <w:szCs w:val="28"/>
          <w:lang w:val="fr-FR" w:eastAsia="en-US"/>
        </w:rPr>
        <w:t xml:space="preserve">Contribution Sociale Généralisée : </w:t>
      </w:r>
    </w:p>
    <w:p w14:paraId="3C0B6D5C"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1D6F44F4"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50B51902"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4E8D4FCC" w14:textId="77777777" w:rsidR="00CA1E24" w:rsidRPr="0053345F"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1E3B186F"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5C250D33" w14:textId="77777777" w:rsidR="00E65FBD" w:rsidRPr="00625B7C" w:rsidRDefault="00860692"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860692">
        <w:rPr>
          <w:rFonts w:cs="Courier"/>
          <w:noProof/>
          <w:lang w:val="en-US" w:eastAsia="en-US"/>
        </w:rPr>
        <w:drawing>
          <wp:inline distT="0" distB="0" distL="0" distR="0" wp14:anchorId="52345FF3" wp14:editId="3E51DB6C">
            <wp:extent cx="4572000" cy="2741544"/>
            <wp:effectExtent l="19050" t="0" r="19050" b="1656"/>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78442F" w14:textId="77777777" w:rsidR="00510613"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4DC6CB4"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774326FB"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63B531B"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CF0309E"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7585CFE6" w14:textId="77777777" w:rsidR="00CA1E24" w:rsidRPr="00625B7C"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98594BB"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4A78C40"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Le premier décile (10 % des plus pauv</w:t>
      </w:r>
      <w:r w:rsidR="00624F9B">
        <w:rPr>
          <w:rFonts w:cs="Courier"/>
          <w:lang w:val="fr-FR" w:eastAsia="en-US"/>
        </w:rPr>
        <w:t>res) donne 2,5 % de leur revenu</w:t>
      </w:r>
      <w:r>
        <w:rPr>
          <w:rFonts w:cs="Courier"/>
          <w:lang w:val="fr-FR" w:eastAsia="en-US"/>
        </w:rPr>
        <w:t xml:space="preserve"> disponible en CSG.</w:t>
      </w:r>
    </w:p>
    <w:p w14:paraId="2ABC1D36"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DB96FAC"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Si la progressivité de cet impôt est réel jusqu’au 7ème décile, pour les 3 dernier</w:t>
      </w:r>
      <w:r w:rsidR="00FD4AAB">
        <w:rPr>
          <w:rFonts w:cs="Courier"/>
          <w:lang w:val="fr-FR" w:eastAsia="en-US"/>
        </w:rPr>
        <w:t>s</w:t>
      </w:r>
      <w:r>
        <w:rPr>
          <w:rFonts w:cs="Courier"/>
          <w:lang w:val="fr-FR" w:eastAsia="en-US"/>
        </w:rPr>
        <w:t xml:space="preserve"> décile</w:t>
      </w:r>
      <w:r w:rsidR="00FD4AAB">
        <w:rPr>
          <w:rFonts w:cs="Courier"/>
          <w:lang w:val="fr-FR" w:eastAsia="en-US"/>
        </w:rPr>
        <w:t>s</w:t>
      </w:r>
      <w:r w:rsidR="00CA1E24">
        <w:rPr>
          <w:rFonts w:cs="Courier"/>
          <w:lang w:val="fr-FR" w:eastAsia="en-US"/>
        </w:rPr>
        <w:t xml:space="preserve"> un mouvement inverse s</w:t>
      </w:r>
      <w:r>
        <w:rPr>
          <w:rFonts w:cs="Courier"/>
          <w:lang w:val="fr-FR" w:eastAsia="en-US"/>
        </w:rPr>
        <w:t>e produit</w:t>
      </w:r>
      <w:r w:rsidR="00CA1E24">
        <w:rPr>
          <w:rFonts w:cs="Courier"/>
          <w:lang w:val="fr-FR" w:eastAsia="en-US"/>
        </w:rPr>
        <w:t>,</w:t>
      </w:r>
      <w:r>
        <w:rPr>
          <w:rFonts w:cs="Courier"/>
          <w:lang w:val="fr-FR" w:eastAsia="en-US"/>
        </w:rPr>
        <w:t xml:space="preserve"> le dernier décile (10 % des plus riches) s’approche du 5ème décile.</w:t>
      </w:r>
    </w:p>
    <w:p w14:paraId="1DFDBECD"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A8D837C" w14:textId="77777777" w:rsidR="00CA1E24" w:rsidRDefault="00CA1E24">
      <w:pPr>
        <w:rPr>
          <w:rFonts w:cs="Courier"/>
          <w:lang w:val="fr-FR" w:eastAsia="en-US"/>
        </w:rPr>
      </w:pPr>
      <w:r>
        <w:rPr>
          <w:rFonts w:cs="Courier"/>
          <w:lang w:val="fr-FR" w:eastAsia="en-US"/>
        </w:rPr>
        <w:br w:type="page"/>
      </w:r>
    </w:p>
    <w:p w14:paraId="11F9EAB1" w14:textId="77777777" w:rsidR="00CA1E24" w:rsidRDefault="00CA1E24"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BAD3615" w14:textId="77777777" w:rsidR="00E65FBD" w:rsidRDefault="00E65FBD" w:rsidP="00E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7F009CCA" w14:textId="77777777" w:rsidR="00510613" w:rsidRPr="0053345F"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53345F">
        <w:rPr>
          <w:rFonts w:cs="Courier"/>
          <w:b/>
          <w:sz w:val="28"/>
          <w:szCs w:val="28"/>
          <w:lang w:val="fr-FR" w:eastAsia="en-US"/>
        </w:rPr>
        <w:t>Impôt s</w:t>
      </w:r>
      <w:r w:rsidR="00510613" w:rsidRPr="0053345F">
        <w:rPr>
          <w:rFonts w:cs="Courier"/>
          <w:b/>
          <w:sz w:val="28"/>
          <w:szCs w:val="28"/>
          <w:lang w:val="fr-FR" w:eastAsia="en-US"/>
        </w:rPr>
        <w:t>ur le logement</w:t>
      </w:r>
      <w:r w:rsidR="009E5EA4">
        <w:rPr>
          <w:rFonts w:cs="Courier"/>
          <w:b/>
          <w:sz w:val="28"/>
          <w:szCs w:val="28"/>
          <w:lang w:val="fr-FR" w:eastAsia="en-US"/>
        </w:rPr>
        <w:t xml:space="preserve"> (Taxe habitation, Taxe foncière, etc.) </w:t>
      </w:r>
    </w:p>
    <w:p w14:paraId="558BF76E" w14:textId="77777777" w:rsidR="00510613"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75A00F26" w14:textId="77777777" w:rsidR="0053345F"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18721CFE"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CCEFD3C"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5BD5D324"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3511FF18"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0E740E98"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15608CA7" w14:textId="77777777" w:rsidR="0053345F"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34009552" w14:textId="77777777" w:rsidR="00E65FBD" w:rsidRDefault="00860692"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r w:rsidRPr="00860692">
        <w:rPr>
          <w:rFonts w:cs="Courier"/>
          <w:noProof/>
          <w:sz w:val="20"/>
          <w:szCs w:val="20"/>
          <w:lang w:val="en-US" w:eastAsia="en-US"/>
        </w:rPr>
        <w:drawing>
          <wp:inline distT="0" distB="0" distL="0" distR="0" wp14:anchorId="655B9885" wp14:editId="05F721CD">
            <wp:extent cx="4572000" cy="2741544"/>
            <wp:effectExtent l="19050" t="0" r="19050" b="1656"/>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6D3C8A" w14:textId="77777777" w:rsidR="00E65FBD" w:rsidRDefault="00E65FBD"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1AB83421"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27B4A018"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576E84D8"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5EB414A"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D348028"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12257B4A" w14:textId="77777777" w:rsidR="0053345F"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2F789FE" w14:textId="77777777" w:rsidR="0053345F" w:rsidRDefault="0053345F" w:rsidP="0053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Le premier décile (10 % des plus pauvr</w:t>
      </w:r>
      <w:r w:rsidR="00624F9B">
        <w:rPr>
          <w:rFonts w:cs="Courier"/>
          <w:lang w:val="fr-FR" w:eastAsia="en-US"/>
        </w:rPr>
        <w:t xml:space="preserve">es) verse 2,7 % de leur revenu </w:t>
      </w:r>
      <w:r>
        <w:rPr>
          <w:rFonts w:cs="Courier"/>
          <w:lang w:val="fr-FR" w:eastAsia="en-US"/>
        </w:rPr>
        <w:t>disponible en impôt et taxe sur le logement.</w:t>
      </w:r>
    </w:p>
    <w:p w14:paraId="2D75B363" w14:textId="77777777" w:rsidR="0053345F" w:rsidRDefault="0053345F" w:rsidP="0053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176F95D7" w14:textId="77777777" w:rsidR="00B65102" w:rsidRDefault="00B65102" w:rsidP="0053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Ici on note que toute notion de progressivité a totalement disparu. On observe que 10 % des plus riches, paye proportionnellement seulement plus que les 2</w:t>
      </w:r>
      <w:r w:rsidRPr="00B65102">
        <w:rPr>
          <w:rFonts w:cs="Courier"/>
          <w:vertAlign w:val="superscript"/>
          <w:lang w:val="fr-FR" w:eastAsia="en-US"/>
        </w:rPr>
        <w:t>ème</w:t>
      </w:r>
      <w:r>
        <w:rPr>
          <w:rFonts w:cs="Courier"/>
          <w:lang w:val="fr-FR" w:eastAsia="en-US"/>
        </w:rPr>
        <w:t xml:space="preserve"> et 3</w:t>
      </w:r>
      <w:r w:rsidRPr="00B65102">
        <w:rPr>
          <w:rFonts w:cs="Courier"/>
          <w:vertAlign w:val="superscript"/>
          <w:lang w:val="fr-FR" w:eastAsia="en-US"/>
        </w:rPr>
        <w:t>ème</w:t>
      </w:r>
      <w:r>
        <w:rPr>
          <w:rFonts w:cs="Courier"/>
          <w:lang w:val="fr-FR" w:eastAsia="en-US"/>
        </w:rPr>
        <w:t xml:space="preserve"> décile.</w:t>
      </w:r>
    </w:p>
    <w:p w14:paraId="2ED4076A" w14:textId="77777777" w:rsidR="00B65102" w:rsidRDefault="00B65102" w:rsidP="0053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172D2ABA" w14:textId="77777777" w:rsidR="0053345F"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3ACCE468" w14:textId="77777777" w:rsidR="0053345F" w:rsidRDefault="0053345F"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1634485"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38487AE2"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F9EFE67"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21928824"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0D7D94F0"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25C77615"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7009D4A0"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42EE587" w14:textId="77777777" w:rsidR="009E5EA4" w:rsidRDefault="009E5EA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562838FE"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01F5704"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2D5A2020"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758F4623" w14:textId="77777777" w:rsidR="00510613"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B65102">
        <w:rPr>
          <w:rFonts w:cs="Courier"/>
          <w:b/>
          <w:sz w:val="28"/>
          <w:szCs w:val="28"/>
          <w:lang w:val="fr-FR" w:eastAsia="en-US"/>
        </w:rPr>
        <w:lastRenderedPageBreak/>
        <w:t>Impôt indirect</w:t>
      </w:r>
      <w:r w:rsidR="009E5EA4">
        <w:rPr>
          <w:rFonts w:cs="Courier"/>
          <w:b/>
          <w:sz w:val="28"/>
          <w:szCs w:val="28"/>
          <w:lang w:val="fr-FR" w:eastAsia="en-US"/>
        </w:rPr>
        <w:t xml:space="preserve"> (TVA, TIPP, etc.)</w:t>
      </w:r>
    </w:p>
    <w:p w14:paraId="148296BE"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70DDAB65"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030540A0"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7B8CE235"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66CF1246" w14:textId="77777777" w:rsidR="00CA1E24" w:rsidRPr="00B65102"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30FD047C" w14:textId="77777777" w:rsidR="00510613" w:rsidRDefault="00510613"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75A1E8F4" w14:textId="77777777" w:rsidR="007B2C10" w:rsidRDefault="007B2C10"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5F72C5A9" w14:textId="77777777" w:rsidR="00B65102" w:rsidRDefault="00860692"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r w:rsidRPr="00860692">
        <w:rPr>
          <w:noProof/>
          <w:lang w:val="en-US" w:eastAsia="en-US"/>
        </w:rPr>
        <w:drawing>
          <wp:inline distT="0" distB="0" distL="0" distR="0" wp14:anchorId="74D87622" wp14:editId="2F38ED30">
            <wp:extent cx="4572000" cy="2741544"/>
            <wp:effectExtent l="19050" t="0" r="19050" b="1656"/>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15C952" w14:textId="77777777" w:rsidR="007B2C10" w:rsidRDefault="007B2C10"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BD94254"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8D26DCD"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BCB30C7"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6D1B444B" w14:textId="77777777" w:rsidR="00CA1E24" w:rsidRDefault="00CA1E24"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4A17D0C8" w14:textId="77777777" w:rsidR="007B2C10" w:rsidRPr="007B2C10" w:rsidRDefault="007B2C10" w:rsidP="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sz w:val="20"/>
          <w:szCs w:val="20"/>
          <w:lang w:val="fr-FR" w:eastAsia="en-US"/>
        </w:rPr>
      </w:pPr>
    </w:p>
    <w:p w14:paraId="0EB152EA" w14:textId="77777777" w:rsidR="00B65102" w:rsidRDefault="00B65102" w:rsidP="00B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Le premier décile (10 % des plus pauvres</w:t>
      </w:r>
      <w:r w:rsidR="009E5EA4">
        <w:rPr>
          <w:rFonts w:cs="Courier"/>
          <w:lang w:val="fr-FR" w:eastAsia="en-US"/>
        </w:rPr>
        <w:t xml:space="preserve">) verse 17,69 % de leur revenu </w:t>
      </w:r>
      <w:r>
        <w:rPr>
          <w:rFonts w:cs="Courier"/>
          <w:lang w:val="fr-FR" w:eastAsia="en-US"/>
        </w:rPr>
        <w:t>disponible en impôt</w:t>
      </w:r>
      <w:r w:rsidR="009E5EA4">
        <w:rPr>
          <w:rFonts w:cs="Courier"/>
          <w:lang w:val="fr-FR" w:eastAsia="en-US"/>
        </w:rPr>
        <w:t>s</w:t>
      </w:r>
      <w:r>
        <w:rPr>
          <w:rFonts w:cs="Courier"/>
          <w:lang w:val="fr-FR" w:eastAsia="en-US"/>
        </w:rPr>
        <w:t xml:space="preserve"> indirect</w:t>
      </w:r>
      <w:r w:rsidR="009E5EA4">
        <w:rPr>
          <w:rFonts w:cs="Courier"/>
          <w:lang w:val="fr-FR" w:eastAsia="en-US"/>
        </w:rPr>
        <w:t>s</w:t>
      </w:r>
      <w:r>
        <w:rPr>
          <w:rFonts w:cs="Courier"/>
          <w:lang w:val="fr-FR" w:eastAsia="en-US"/>
        </w:rPr>
        <w:t>.</w:t>
      </w:r>
    </w:p>
    <w:p w14:paraId="43C68EB5" w14:textId="77777777" w:rsidR="00B65102" w:rsidRDefault="00B65102" w:rsidP="00B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35D9C55" w14:textId="77777777" w:rsidR="009E5EA4" w:rsidRDefault="00B65102" w:rsidP="00B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Les impôt</w:t>
      </w:r>
      <w:r w:rsidR="00A16743">
        <w:rPr>
          <w:rFonts w:cs="Courier"/>
          <w:lang w:val="fr-FR" w:eastAsia="en-US"/>
        </w:rPr>
        <w:t>s</w:t>
      </w:r>
      <w:r>
        <w:rPr>
          <w:rFonts w:cs="Courier"/>
          <w:lang w:val="fr-FR" w:eastAsia="en-US"/>
        </w:rPr>
        <w:t xml:space="preserve"> indirect</w:t>
      </w:r>
      <w:r w:rsidR="00A16743">
        <w:rPr>
          <w:rFonts w:cs="Courier"/>
          <w:lang w:val="fr-FR" w:eastAsia="en-US"/>
        </w:rPr>
        <w:t>s</w:t>
      </w:r>
      <w:r>
        <w:rPr>
          <w:rFonts w:cs="Courier"/>
          <w:lang w:val="fr-FR" w:eastAsia="en-US"/>
        </w:rPr>
        <w:t xml:space="preserve"> </w:t>
      </w:r>
      <w:r w:rsidR="009E5EA4">
        <w:rPr>
          <w:rFonts w:cs="Courier"/>
          <w:lang w:val="fr-FR" w:eastAsia="en-US"/>
        </w:rPr>
        <w:t>sont composés de :</w:t>
      </w:r>
    </w:p>
    <w:p w14:paraId="294335E8" w14:textId="77777777" w:rsidR="009E5EA4" w:rsidRDefault="009E5EA4" w:rsidP="009E5E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la TVA,</w:t>
      </w:r>
    </w:p>
    <w:p w14:paraId="1277D4A2" w14:textId="77777777" w:rsidR="009E5EA4" w:rsidRDefault="00B65102" w:rsidP="009E5E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9E5EA4">
        <w:rPr>
          <w:rFonts w:cs="Courier"/>
          <w:lang w:val="fr-FR" w:eastAsia="en-US"/>
        </w:rPr>
        <w:t>la taxe sur l’alcool,</w:t>
      </w:r>
    </w:p>
    <w:p w14:paraId="1A250C0B" w14:textId="77777777" w:rsidR="009E5EA4" w:rsidRDefault="009E5EA4" w:rsidP="009E5E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la taxe sur</w:t>
      </w:r>
      <w:r w:rsidR="00B65102" w:rsidRPr="009E5EA4">
        <w:rPr>
          <w:rFonts w:cs="Courier"/>
          <w:lang w:val="fr-FR" w:eastAsia="en-US"/>
        </w:rPr>
        <w:t xml:space="preserve"> le tabac, </w:t>
      </w:r>
    </w:p>
    <w:p w14:paraId="1A4BB686" w14:textId="77777777" w:rsidR="009E5EA4" w:rsidRDefault="009E5EA4" w:rsidP="009E5E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la taxe sur les produits pétroliers</w:t>
      </w:r>
    </w:p>
    <w:p w14:paraId="65A5F2D1" w14:textId="77777777" w:rsidR="00B65102" w:rsidRPr="009E5EA4" w:rsidRDefault="00B65102" w:rsidP="009E5E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9E5EA4">
        <w:rPr>
          <w:rFonts w:cs="Courier"/>
          <w:lang w:val="fr-FR" w:eastAsia="en-US"/>
        </w:rPr>
        <w:t xml:space="preserve">les </w:t>
      </w:r>
      <w:r w:rsidR="00E53F5B" w:rsidRPr="009E5EA4">
        <w:rPr>
          <w:rFonts w:cs="Courier"/>
          <w:lang w:val="fr-FR" w:eastAsia="en-US"/>
        </w:rPr>
        <w:t>taxes sur les conventions d’</w:t>
      </w:r>
      <w:r w:rsidRPr="009E5EA4">
        <w:rPr>
          <w:rFonts w:cs="Courier"/>
          <w:lang w:val="fr-FR" w:eastAsia="en-US"/>
        </w:rPr>
        <w:t>ass</w:t>
      </w:r>
      <w:r w:rsidR="00E53F5B" w:rsidRPr="009E5EA4">
        <w:rPr>
          <w:rFonts w:cs="Courier"/>
          <w:lang w:val="fr-FR" w:eastAsia="en-US"/>
        </w:rPr>
        <w:t>urance</w:t>
      </w:r>
      <w:r w:rsidRPr="009E5EA4">
        <w:rPr>
          <w:rFonts w:cs="Courier"/>
          <w:lang w:val="fr-FR" w:eastAsia="en-US"/>
        </w:rPr>
        <w:t>.</w:t>
      </w:r>
    </w:p>
    <w:p w14:paraId="2A612859" w14:textId="77777777" w:rsidR="009E5EA4" w:rsidRDefault="009E5EA4" w:rsidP="007B2C10">
      <w:pPr>
        <w:rPr>
          <w:lang w:val="fr-FR"/>
        </w:rPr>
      </w:pPr>
    </w:p>
    <w:p w14:paraId="6C55B1CD" w14:textId="77777777" w:rsidR="009E5EA4" w:rsidRDefault="00E53F5B" w:rsidP="007B2C10">
      <w:pPr>
        <w:rPr>
          <w:rFonts w:cs="Courier"/>
          <w:lang w:val="fr-FR" w:eastAsia="en-US"/>
        </w:rPr>
      </w:pPr>
      <w:r>
        <w:rPr>
          <w:lang w:val="fr-FR"/>
        </w:rPr>
        <w:t xml:space="preserve">On constate que non seulement il n’y a aucune progressivité </w:t>
      </w:r>
      <w:r w:rsidR="009E5EA4">
        <w:rPr>
          <w:lang w:val="fr-FR"/>
        </w:rPr>
        <w:t xml:space="preserve">de cet impôt </w:t>
      </w:r>
      <w:r>
        <w:rPr>
          <w:lang w:val="fr-FR"/>
        </w:rPr>
        <w:t xml:space="preserve">mais qu’au contraire il </w:t>
      </w:r>
      <w:r w:rsidR="009E5EA4">
        <w:rPr>
          <w:lang w:val="fr-FR"/>
        </w:rPr>
        <w:t>est fortement dégressif</w:t>
      </w:r>
      <w:r>
        <w:rPr>
          <w:lang w:val="fr-FR"/>
        </w:rPr>
        <w:t>.</w:t>
      </w:r>
      <w:r w:rsidR="009E5EA4">
        <w:rPr>
          <w:lang w:val="fr-FR"/>
        </w:rPr>
        <w:t xml:space="preserve">  De plus cet impôt </w:t>
      </w:r>
      <w:r w:rsidR="009E5EA4">
        <w:rPr>
          <w:rFonts w:cs="Courier"/>
          <w:lang w:val="fr-FR" w:eastAsia="en-US"/>
        </w:rPr>
        <w:t>représente la plus grande part  de l’imposition totale. (44%).</w:t>
      </w:r>
    </w:p>
    <w:p w14:paraId="2E92ECA6" w14:textId="77777777" w:rsidR="006E3715" w:rsidRDefault="006E3715" w:rsidP="007B2C10">
      <w:pPr>
        <w:rPr>
          <w:rFonts w:cs="Courier"/>
          <w:lang w:val="fr-FR" w:eastAsia="en-US"/>
        </w:rPr>
      </w:pPr>
    </w:p>
    <w:p w14:paraId="558D7ACA" w14:textId="77777777" w:rsidR="006E3715" w:rsidRDefault="006E3715" w:rsidP="007B2C10">
      <w:pPr>
        <w:rPr>
          <w:rFonts w:cs="Courier"/>
          <w:lang w:val="fr-FR" w:eastAsia="en-US"/>
        </w:rPr>
      </w:pPr>
    </w:p>
    <w:p w14:paraId="2FAC7319" w14:textId="77777777" w:rsidR="006E3715" w:rsidRDefault="006E3715" w:rsidP="007B2C10">
      <w:pPr>
        <w:rPr>
          <w:rFonts w:cs="Courier"/>
          <w:lang w:val="fr-FR" w:eastAsia="en-US"/>
        </w:rPr>
      </w:pPr>
    </w:p>
    <w:p w14:paraId="05C84626" w14:textId="77777777" w:rsidR="006E3715" w:rsidRDefault="006E3715" w:rsidP="007B2C10">
      <w:pPr>
        <w:rPr>
          <w:rFonts w:cs="Courier"/>
          <w:lang w:val="fr-FR" w:eastAsia="en-US"/>
        </w:rPr>
      </w:pPr>
    </w:p>
    <w:p w14:paraId="6F37DEE4" w14:textId="77777777" w:rsidR="00E53F5B" w:rsidRDefault="009E5EA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9E5EA4">
        <w:rPr>
          <w:rFonts w:cs="Courier"/>
          <w:b/>
          <w:sz w:val="28"/>
          <w:szCs w:val="28"/>
          <w:lang w:val="fr-FR" w:eastAsia="en-US"/>
        </w:rPr>
        <w:lastRenderedPageBreak/>
        <w:t xml:space="preserve">Taux d’imposition Total : </w:t>
      </w:r>
    </w:p>
    <w:p w14:paraId="4D6ECEC8" w14:textId="77777777" w:rsidR="00CA1E24" w:rsidRDefault="00CA1E2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2EFFB589" w14:textId="77777777" w:rsidR="00CA1E24" w:rsidRDefault="00CA1E2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22E40B4F" w14:textId="77777777" w:rsidR="00CA1E24" w:rsidRDefault="00CA1E2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21929491" w14:textId="77777777" w:rsidR="00CA1E24" w:rsidRDefault="00CA1E2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0F5A415E" w14:textId="77777777" w:rsidR="009E5EA4" w:rsidRPr="009E5EA4" w:rsidRDefault="009E5EA4" w:rsidP="009E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p>
    <w:p w14:paraId="148A5997" w14:textId="77777777" w:rsidR="00E53F5B" w:rsidRDefault="00A73092" w:rsidP="007B2C10">
      <w:pPr>
        <w:rPr>
          <w:lang w:val="fr-FR"/>
        </w:rPr>
      </w:pPr>
      <w:r w:rsidRPr="00A73092">
        <w:rPr>
          <w:noProof/>
          <w:lang w:val="en-US" w:eastAsia="en-US"/>
        </w:rPr>
        <w:drawing>
          <wp:inline distT="0" distB="0" distL="0" distR="0" wp14:anchorId="35F02793" wp14:editId="592B03C6">
            <wp:extent cx="4572000" cy="2741543"/>
            <wp:effectExtent l="19050" t="0" r="19050" b="1657"/>
            <wp:docPr id="1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D36AA">
        <w:rPr>
          <w:lang w:val="fr-FR"/>
        </w:rPr>
        <w:tab/>
      </w:r>
      <w:r w:rsidR="00A60F6D">
        <w:rPr>
          <w:lang w:val="fr-FR"/>
        </w:rPr>
        <w:br w:type="textWrapping" w:clear="all"/>
      </w:r>
    </w:p>
    <w:p w14:paraId="1A9BB04D" w14:textId="77777777" w:rsidR="00CA1E24" w:rsidRDefault="00CA1E24" w:rsidP="007B2C10">
      <w:pPr>
        <w:rPr>
          <w:lang w:val="fr-FR"/>
        </w:rPr>
      </w:pPr>
    </w:p>
    <w:p w14:paraId="61C74786" w14:textId="77777777" w:rsidR="00CA1E24" w:rsidRPr="007B2C10" w:rsidRDefault="00CA1E24" w:rsidP="007B2C10">
      <w:pPr>
        <w:rPr>
          <w:lang w:val="fr-FR"/>
        </w:rPr>
      </w:pPr>
    </w:p>
    <w:p w14:paraId="350FB972" w14:textId="77777777" w:rsidR="006E3715" w:rsidRDefault="006E3715" w:rsidP="006E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Impôt total est l’addition de l’impôt sur le revenu, des impôts sur la fortune, l’impôt sur le logement, la CSG et les impôts indirects.</w:t>
      </w:r>
    </w:p>
    <w:p w14:paraId="374A151E" w14:textId="77777777" w:rsidR="006E3715" w:rsidRDefault="006E3715"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3018FD69" w14:textId="77777777" w:rsidR="00E53F5B" w:rsidRDefault="00E53F5B"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 xml:space="preserve">Le premier décile (10 % des plus pauvres) verse </w:t>
      </w:r>
      <w:r w:rsidR="00AE0C57">
        <w:rPr>
          <w:rFonts w:cs="Courier"/>
          <w:lang w:val="fr-FR" w:eastAsia="en-US"/>
        </w:rPr>
        <w:t>23,09</w:t>
      </w:r>
      <w:r w:rsidR="00624F9B">
        <w:rPr>
          <w:rFonts w:cs="Courier"/>
          <w:lang w:val="fr-FR" w:eastAsia="en-US"/>
        </w:rPr>
        <w:t xml:space="preserve"> % de leur revenu</w:t>
      </w:r>
      <w:r>
        <w:rPr>
          <w:rFonts w:cs="Courier"/>
          <w:lang w:val="fr-FR" w:eastAsia="en-US"/>
        </w:rPr>
        <w:t xml:space="preserve"> disponible en impôt.</w:t>
      </w:r>
    </w:p>
    <w:p w14:paraId="49BE72FF" w14:textId="77777777" w:rsidR="00E53F5B" w:rsidRDefault="00E53F5B"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A4E6FEA" w14:textId="77777777" w:rsidR="002D3336" w:rsidRDefault="00AE0C57"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Une très légère progressivité existe entre le deuxième décile et le 10</w:t>
      </w:r>
      <w:r w:rsidRPr="00AE0C57">
        <w:rPr>
          <w:rFonts w:cs="Courier"/>
          <w:vertAlign w:val="superscript"/>
          <w:lang w:val="fr-FR" w:eastAsia="en-US"/>
        </w:rPr>
        <w:t>ème</w:t>
      </w:r>
      <w:r>
        <w:rPr>
          <w:rFonts w:cs="Courier"/>
          <w:lang w:val="fr-FR" w:eastAsia="en-US"/>
        </w:rPr>
        <w:t xml:space="preserve"> décile.</w:t>
      </w:r>
      <w:r w:rsidR="002D3336">
        <w:rPr>
          <w:rFonts w:cs="Courier"/>
          <w:lang w:val="fr-FR" w:eastAsia="en-US"/>
        </w:rPr>
        <w:t xml:space="preserve"> (6 points de pourcentage les différencient) </w:t>
      </w:r>
    </w:p>
    <w:p w14:paraId="1E281E3B" w14:textId="77777777" w:rsidR="00E56BDB" w:rsidRDefault="00AE0C57"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Pr>
          <w:rFonts w:cs="Courier"/>
          <w:lang w:val="fr-FR" w:eastAsia="en-US"/>
        </w:rPr>
        <w:t xml:space="preserve">Cependant les 10 % les plus pauvres payent proportionnellement plus d’impôt </w:t>
      </w:r>
      <w:r w:rsidR="006C1BF9">
        <w:rPr>
          <w:rFonts w:cs="Courier"/>
          <w:lang w:val="fr-FR" w:eastAsia="en-US"/>
        </w:rPr>
        <w:t xml:space="preserve">sur leur revenu disponible </w:t>
      </w:r>
      <w:r>
        <w:rPr>
          <w:rFonts w:cs="Courier"/>
          <w:lang w:val="fr-FR" w:eastAsia="en-US"/>
        </w:rPr>
        <w:t>que les 2, 3, 4, 5</w:t>
      </w:r>
      <w:r w:rsidRPr="00AE0C57">
        <w:rPr>
          <w:rFonts w:cs="Courier"/>
          <w:vertAlign w:val="superscript"/>
          <w:lang w:val="fr-FR" w:eastAsia="en-US"/>
        </w:rPr>
        <w:t>ème</w:t>
      </w:r>
      <w:r>
        <w:rPr>
          <w:rFonts w:cs="Courier"/>
          <w:lang w:val="fr-FR" w:eastAsia="en-US"/>
        </w:rPr>
        <w:t xml:space="preserve"> </w:t>
      </w:r>
      <w:r w:rsidRPr="006C1BF9">
        <w:rPr>
          <w:rFonts w:cs="Courier"/>
          <w:lang w:val="fr-FR" w:eastAsia="en-US"/>
        </w:rPr>
        <w:t>décile</w:t>
      </w:r>
      <w:r w:rsidR="00E56BDB" w:rsidRPr="006C1BF9">
        <w:rPr>
          <w:rFonts w:cs="Courier"/>
          <w:lang w:val="fr-FR" w:eastAsia="en-US"/>
        </w:rPr>
        <w:t xml:space="preserve"> et autant que le 6</w:t>
      </w:r>
      <w:r w:rsidR="00E56BDB" w:rsidRPr="006C1BF9">
        <w:rPr>
          <w:rFonts w:cs="Courier"/>
          <w:vertAlign w:val="superscript"/>
          <w:lang w:val="fr-FR" w:eastAsia="en-US"/>
        </w:rPr>
        <w:t>e</w:t>
      </w:r>
      <w:r w:rsidR="00E56BDB" w:rsidRPr="006C1BF9">
        <w:rPr>
          <w:rFonts w:cs="Courier"/>
          <w:lang w:val="fr-FR" w:eastAsia="en-US"/>
        </w:rPr>
        <w:t xml:space="preserve"> décile</w:t>
      </w:r>
      <w:r w:rsidR="001E7766">
        <w:rPr>
          <w:rFonts w:cs="Courier"/>
          <w:lang w:val="fr-FR" w:eastAsia="en-US"/>
        </w:rPr>
        <w:t xml:space="preserve">. Alors que le premier décile perçoit en </w:t>
      </w:r>
      <w:r w:rsidR="001E7766" w:rsidRPr="006C1BF9">
        <w:rPr>
          <w:rFonts w:cs="Courier"/>
          <w:lang w:val="fr-FR" w:eastAsia="en-US"/>
        </w:rPr>
        <w:t xml:space="preserve">moyenne </w:t>
      </w:r>
      <w:r w:rsidR="001E7766">
        <w:rPr>
          <w:rFonts w:cs="Courier"/>
          <w:lang w:val="fr-FR" w:eastAsia="en-US"/>
        </w:rPr>
        <w:t>1015 € par mois</w:t>
      </w:r>
      <w:r w:rsidR="001E7766" w:rsidRPr="006C1BF9">
        <w:rPr>
          <w:rFonts w:cs="Courier"/>
          <w:lang w:val="fr-FR" w:eastAsia="en-US"/>
        </w:rPr>
        <w:t xml:space="preserve"> </w:t>
      </w:r>
      <w:r w:rsidR="001E7766">
        <w:rPr>
          <w:rFonts w:cs="Courier"/>
          <w:lang w:val="fr-FR" w:eastAsia="en-US"/>
        </w:rPr>
        <w:t xml:space="preserve">et le </w:t>
      </w:r>
      <w:r w:rsidR="001E7766" w:rsidRPr="006C1BF9">
        <w:rPr>
          <w:rFonts w:cs="Courier"/>
          <w:lang w:val="fr-FR" w:eastAsia="en-US"/>
        </w:rPr>
        <w:t>6</w:t>
      </w:r>
      <w:r w:rsidR="001E7766" w:rsidRPr="006C1BF9">
        <w:rPr>
          <w:rFonts w:cs="Courier"/>
          <w:vertAlign w:val="superscript"/>
          <w:lang w:val="fr-FR" w:eastAsia="en-US"/>
        </w:rPr>
        <w:t>e</w:t>
      </w:r>
      <w:r w:rsidR="001E7766" w:rsidRPr="006C1BF9">
        <w:rPr>
          <w:rFonts w:cs="Courier"/>
          <w:lang w:val="fr-FR" w:eastAsia="en-US"/>
        </w:rPr>
        <w:t xml:space="preserve"> décile </w:t>
      </w:r>
      <w:r w:rsidR="001E7766">
        <w:rPr>
          <w:rFonts w:cs="Courier"/>
          <w:lang w:val="fr-FR" w:eastAsia="en-US"/>
        </w:rPr>
        <w:t xml:space="preserve">perçoit </w:t>
      </w:r>
      <w:r w:rsidR="006C1BF9">
        <w:rPr>
          <w:rFonts w:cs="Courier"/>
          <w:lang w:val="fr-FR" w:eastAsia="en-US"/>
        </w:rPr>
        <w:t xml:space="preserve">en </w:t>
      </w:r>
      <w:r w:rsidR="006C1BF9" w:rsidRPr="006C1BF9">
        <w:rPr>
          <w:rFonts w:cs="Courier"/>
          <w:lang w:val="fr-FR" w:eastAsia="en-US"/>
        </w:rPr>
        <w:t>moyenne 2716</w:t>
      </w:r>
      <w:r w:rsidR="001E7766">
        <w:rPr>
          <w:rFonts w:cs="Courier"/>
          <w:lang w:val="fr-FR" w:eastAsia="en-US"/>
        </w:rPr>
        <w:t>€ par mois</w:t>
      </w:r>
      <w:r w:rsidR="006C1BF9" w:rsidRPr="006C1BF9">
        <w:rPr>
          <w:rFonts w:cs="Courier"/>
          <w:lang w:val="fr-FR" w:eastAsia="en-US"/>
        </w:rPr>
        <w:t xml:space="preserve">.  </w:t>
      </w:r>
    </w:p>
    <w:p w14:paraId="041C7615"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52EAC364" w14:textId="77777777" w:rsidR="00CA1E24" w:rsidRDefault="00CA1E24">
      <w:pPr>
        <w:rPr>
          <w:rFonts w:cs="Courier"/>
          <w:lang w:val="fr-FR" w:eastAsia="en-US"/>
        </w:rPr>
      </w:pPr>
      <w:r>
        <w:rPr>
          <w:rFonts w:cs="Courier"/>
          <w:lang w:val="fr-FR" w:eastAsia="en-US"/>
        </w:rPr>
        <w:br w:type="page"/>
      </w:r>
    </w:p>
    <w:p w14:paraId="1356C346" w14:textId="77777777" w:rsidR="006E3715" w:rsidRDefault="006E3715"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28E1625" w14:textId="77777777" w:rsidR="006E3715" w:rsidRDefault="006E3715"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1FF44862" w14:textId="77777777" w:rsidR="00527867" w:rsidRPr="005965B4" w:rsidRDefault="00E56BDB"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sz w:val="28"/>
          <w:szCs w:val="28"/>
          <w:lang w:val="fr-FR" w:eastAsia="en-US"/>
        </w:rPr>
      </w:pPr>
      <w:r w:rsidRPr="005965B4">
        <w:rPr>
          <w:rFonts w:cs="Courier"/>
          <w:b/>
          <w:sz w:val="28"/>
          <w:szCs w:val="28"/>
          <w:lang w:val="fr-FR" w:eastAsia="en-US"/>
        </w:rPr>
        <w:t>Conclusion :</w:t>
      </w:r>
      <w:r w:rsidR="00527867" w:rsidRPr="005965B4">
        <w:rPr>
          <w:rFonts w:cs="Courier"/>
          <w:b/>
          <w:sz w:val="28"/>
          <w:szCs w:val="28"/>
          <w:lang w:val="fr-FR" w:eastAsia="en-US"/>
        </w:rPr>
        <w:t xml:space="preserve"> </w:t>
      </w:r>
    </w:p>
    <w:p w14:paraId="7989A141" w14:textId="77777777" w:rsidR="00CA1E24" w:rsidRPr="00555F58" w:rsidRDefault="00CA1E24"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lang w:val="fr-FR" w:eastAsia="en-US"/>
        </w:rPr>
      </w:pPr>
    </w:p>
    <w:p w14:paraId="2FFC40A9" w14:textId="77777777" w:rsidR="00CA1E24" w:rsidRPr="00555F58" w:rsidRDefault="00CA1E24"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lang w:val="fr-FR" w:eastAsia="en-US"/>
        </w:rPr>
      </w:pPr>
    </w:p>
    <w:p w14:paraId="7B496B95" w14:textId="77777777" w:rsidR="00CA1E24" w:rsidRPr="00555F58" w:rsidRDefault="00CA1E24"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lang w:val="fr-FR" w:eastAsia="en-US"/>
        </w:rPr>
      </w:pPr>
    </w:p>
    <w:p w14:paraId="4AB12B50" w14:textId="77777777" w:rsidR="00CA1E24" w:rsidRPr="00555F58" w:rsidRDefault="00CA1E24"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lang w:val="fr-FR" w:eastAsia="en-US"/>
        </w:rPr>
      </w:pPr>
    </w:p>
    <w:p w14:paraId="09D78364"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b/>
          <w:lang w:val="fr-FR" w:eastAsia="en-US"/>
        </w:rPr>
      </w:pPr>
    </w:p>
    <w:p w14:paraId="2BD85950"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 xml:space="preserve">Dans l’imaginaire collectif la France reste un des pays les plus égalitaires au monde. Beaucoup de cet imaginaire repose sur la progressivité de l’impôt et son caractère </w:t>
      </w:r>
      <w:proofErr w:type="spellStart"/>
      <w:r w:rsidRPr="00555F58">
        <w:rPr>
          <w:rFonts w:cs="Courier"/>
          <w:lang w:val="fr-FR" w:eastAsia="en-US"/>
        </w:rPr>
        <w:t>redistributif</w:t>
      </w:r>
      <w:proofErr w:type="spellEnd"/>
      <w:r w:rsidRPr="00555F58">
        <w:rPr>
          <w:rFonts w:cs="Courier"/>
          <w:lang w:val="fr-FR" w:eastAsia="en-US"/>
        </w:rPr>
        <w:t xml:space="preserve">. </w:t>
      </w:r>
    </w:p>
    <w:p w14:paraId="25E71E91"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E8C659C"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 xml:space="preserve">De manière opposée à l’intérieur du pays on entend dans les discours politiques que notre système fiscal spolie la « classe moyenne », que les riches sont matraqués fiscalement, que nous faisons fuir les talents et détestons la réussite. </w:t>
      </w:r>
    </w:p>
    <w:p w14:paraId="5B22EFB5" w14:textId="77777777" w:rsidR="00645231" w:rsidRPr="00555F58" w:rsidRDefault="00645231"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6652CB04" w14:textId="77777777" w:rsidR="00645231" w:rsidRPr="00555F58" w:rsidRDefault="00645231"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 xml:space="preserve">Au vu des données que nous avons pu récolter, de l’imposition  « réelle » des ménages  nous constatons que ces idées que nous nous faisons de nous même sont assez peu fondées. </w:t>
      </w:r>
    </w:p>
    <w:p w14:paraId="1143579C"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5F84B883" w14:textId="77777777" w:rsidR="00527867" w:rsidRPr="00555F58" w:rsidRDefault="00527867"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 xml:space="preserve">Une fois ce constat fait sur la faible justice sociale réelle de notre système fiscal : </w:t>
      </w:r>
    </w:p>
    <w:p w14:paraId="01A76651" w14:textId="77777777" w:rsidR="00E46B24" w:rsidRPr="00555F58" w:rsidRDefault="00E46B24" w:rsidP="00E46B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quelle progressivité </w:t>
      </w:r>
      <w:r w:rsidR="00645231" w:rsidRPr="00555F58">
        <w:rPr>
          <w:rFonts w:cs="Courier"/>
          <w:lang w:val="fr-FR" w:eastAsia="en-US"/>
        </w:rPr>
        <w:t xml:space="preserve"> voulons-</w:t>
      </w:r>
      <w:r w:rsidR="00527867" w:rsidRPr="00555F58">
        <w:rPr>
          <w:rFonts w:cs="Courier"/>
          <w:lang w:val="fr-FR" w:eastAsia="en-US"/>
        </w:rPr>
        <w:t>nous mettre en place</w:t>
      </w:r>
      <w:r w:rsidRPr="00555F58">
        <w:rPr>
          <w:rFonts w:cs="Courier"/>
          <w:lang w:val="fr-FR" w:eastAsia="en-US"/>
        </w:rPr>
        <w:t xml:space="preserve">? </w:t>
      </w:r>
    </w:p>
    <w:p w14:paraId="0E0CD40C" w14:textId="77777777" w:rsidR="00527867" w:rsidRPr="00555F58" w:rsidRDefault="00E46B24" w:rsidP="00E46B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Quelle justice sociale </w:t>
      </w:r>
      <w:r w:rsidR="00645231" w:rsidRPr="00555F58">
        <w:rPr>
          <w:rFonts w:cs="Courier"/>
          <w:lang w:val="fr-FR" w:eastAsia="en-US"/>
        </w:rPr>
        <w:t>voulons-</w:t>
      </w:r>
      <w:r w:rsidR="00527867" w:rsidRPr="00555F58">
        <w:rPr>
          <w:rFonts w:cs="Courier"/>
          <w:lang w:val="fr-FR" w:eastAsia="en-US"/>
        </w:rPr>
        <w:t>nous soutenir</w:t>
      </w:r>
      <w:r w:rsidRPr="00555F58">
        <w:rPr>
          <w:rFonts w:cs="Courier"/>
          <w:lang w:val="fr-FR" w:eastAsia="en-US"/>
        </w:rPr>
        <w:t>?</w:t>
      </w:r>
    </w:p>
    <w:p w14:paraId="1D2F80B1" w14:textId="77777777" w:rsidR="00E46B24" w:rsidRPr="00555F58" w:rsidRDefault="00527867" w:rsidP="00E46B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 xml:space="preserve">Par quels moyens ? </w:t>
      </w:r>
      <w:r w:rsidR="00E46B24" w:rsidRPr="00555F58">
        <w:rPr>
          <w:rFonts w:cs="Courier"/>
          <w:lang w:val="fr-FR" w:eastAsia="en-US"/>
        </w:rPr>
        <w:t xml:space="preserve"> </w:t>
      </w:r>
    </w:p>
    <w:p w14:paraId="4268CB59" w14:textId="77777777" w:rsidR="00E46B24" w:rsidRPr="00555F58"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494DEAA3" w14:textId="77777777" w:rsidR="00527867" w:rsidRPr="00555F58" w:rsidRDefault="00645231" w:rsidP="0052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r w:rsidRPr="00555F58">
        <w:rPr>
          <w:rFonts w:cs="Courier"/>
          <w:lang w:val="fr-FR" w:eastAsia="en-US"/>
        </w:rPr>
        <w:t>Nous voud</w:t>
      </w:r>
      <w:r w:rsidR="00527867" w:rsidRPr="00555F58">
        <w:rPr>
          <w:rFonts w:cs="Courier"/>
          <w:lang w:val="fr-FR" w:eastAsia="en-US"/>
        </w:rPr>
        <w:t xml:space="preserve">rions en fait lancer une petite question au sein du débat de nos chers politiques : Pourquoi les 10% les plus pauvres de France, dont le taux d’imposition réel s’approche de celui des 20% les plus riches, ne décident ils pas de quitter la France pour des raisons fiscales ? </w:t>
      </w:r>
    </w:p>
    <w:p w14:paraId="4D2F5484" w14:textId="77777777" w:rsidR="00527867" w:rsidRPr="00555F58" w:rsidRDefault="00527867"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2BCA3BF9" w14:textId="77777777" w:rsidR="00E46B24" w:rsidRPr="00555F58"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lang w:val="fr-FR" w:eastAsia="en-US"/>
        </w:rPr>
      </w:pPr>
    </w:p>
    <w:p w14:paraId="086B8824"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205287E6"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19344C96"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066ADBA8"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4C79623F"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67BAD6C9"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05CEDD4D"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6C0C853F"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3760BD85"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15536612"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3B7F7058"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2305B577"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2D0F5360"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3FFE45BE"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18C668E3"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0EB27E4C"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70A3D511" w14:textId="77777777" w:rsidR="00E46B24" w:rsidRDefault="00E46B24" w:rsidP="00E5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w:highlight w:val="yellow"/>
          <w:lang w:val="fr-FR" w:eastAsia="en-US"/>
        </w:rPr>
      </w:pPr>
    </w:p>
    <w:p w14:paraId="51420177" w14:textId="77777777" w:rsidR="00E46B24" w:rsidRPr="00E46B24" w:rsidRDefault="00E46B24" w:rsidP="00E46B24">
      <w:pPr>
        <w:rPr>
          <w:lang w:val="fr-FR"/>
        </w:rPr>
      </w:pPr>
      <w:bookmarkStart w:id="0" w:name="_GoBack"/>
      <w:bookmarkEnd w:id="0"/>
    </w:p>
    <w:sectPr w:rsidR="00E46B24" w:rsidRPr="00E46B24" w:rsidSect="000F68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D1F6" w14:textId="77777777" w:rsidR="00CA1E24" w:rsidRDefault="00CA1E24" w:rsidP="0028093F">
      <w:pPr>
        <w:spacing w:after="0"/>
      </w:pPr>
      <w:r>
        <w:separator/>
      </w:r>
    </w:p>
  </w:endnote>
  <w:endnote w:type="continuationSeparator" w:id="0">
    <w:p w14:paraId="570D444D" w14:textId="77777777" w:rsidR="00CA1E24" w:rsidRDefault="00CA1E24" w:rsidP="00280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81E6" w14:textId="77777777" w:rsidR="00CA1E24" w:rsidRDefault="00CA1E24" w:rsidP="0028093F">
      <w:pPr>
        <w:spacing w:after="0"/>
      </w:pPr>
      <w:r>
        <w:separator/>
      </w:r>
    </w:p>
  </w:footnote>
  <w:footnote w:type="continuationSeparator" w:id="0">
    <w:p w14:paraId="07EB9B09" w14:textId="77777777" w:rsidR="00CA1E24" w:rsidRDefault="00CA1E24" w:rsidP="0028093F">
      <w:pPr>
        <w:spacing w:after="0"/>
      </w:pPr>
      <w:r>
        <w:continuationSeparator/>
      </w:r>
    </w:p>
  </w:footnote>
  <w:footnote w:id="1">
    <w:p w14:paraId="458D88AC" w14:textId="77777777" w:rsidR="00CA1E24" w:rsidRPr="0028093F" w:rsidRDefault="00CA1E24">
      <w:pPr>
        <w:pStyle w:val="FootnoteText"/>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4324"/>
    <w:multiLevelType w:val="hybridMultilevel"/>
    <w:tmpl w:val="928A2B0E"/>
    <w:lvl w:ilvl="0" w:tplc="155A5BF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65A1"/>
    <w:rsid w:val="000139FF"/>
    <w:rsid w:val="000317C1"/>
    <w:rsid w:val="0003523D"/>
    <w:rsid w:val="00046362"/>
    <w:rsid w:val="000A243D"/>
    <w:rsid w:val="000C5858"/>
    <w:rsid w:val="000F307E"/>
    <w:rsid w:val="000F6811"/>
    <w:rsid w:val="001150D3"/>
    <w:rsid w:val="00166B87"/>
    <w:rsid w:val="00171F39"/>
    <w:rsid w:val="001A7A71"/>
    <w:rsid w:val="001E1611"/>
    <w:rsid w:val="001E7766"/>
    <w:rsid w:val="002365A1"/>
    <w:rsid w:val="0028093F"/>
    <w:rsid w:val="0028141B"/>
    <w:rsid w:val="002D3336"/>
    <w:rsid w:val="00361A74"/>
    <w:rsid w:val="003E6C54"/>
    <w:rsid w:val="00424D12"/>
    <w:rsid w:val="004A6E3D"/>
    <w:rsid w:val="004B7EA7"/>
    <w:rsid w:val="00510613"/>
    <w:rsid w:val="00527867"/>
    <w:rsid w:val="0053345F"/>
    <w:rsid w:val="00555F58"/>
    <w:rsid w:val="005965B4"/>
    <w:rsid w:val="005C1634"/>
    <w:rsid w:val="006208B5"/>
    <w:rsid w:val="00624F9B"/>
    <w:rsid w:val="00625B7C"/>
    <w:rsid w:val="00626D51"/>
    <w:rsid w:val="00645231"/>
    <w:rsid w:val="006473AD"/>
    <w:rsid w:val="006B7915"/>
    <w:rsid w:val="006C1BF9"/>
    <w:rsid w:val="006E3715"/>
    <w:rsid w:val="00781B23"/>
    <w:rsid w:val="0078457D"/>
    <w:rsid w:val="007B2C10"/>
    <w:rsid w:val="007B4CCC"/>
    <w:rsid w:val="00802E6D"/>
    <w:rsid w:val="00860692"/>
    <w:rsid w:val="008807B4"/>
    <w:rsid w:val="008C4D2E"/>
    <w:rsid w:val="008E59D1"/>
    <w:rsid w:val="008F0BB6"/>
    <w:rsid w:val="009927F1"/>
    <w:rsid w:val="009E5EA4"/>
    <w:rsid w:val="009F481C"/>
    <w:rsid w:val="00A16743"/>
    <w:rsid w:val="00A60F6D"/>
    <w:rsid w:val="00A73092"/>
    <w:rsid w:val="00AE0C57"/>
    <w:rsid w:val="00B64109"/>
    <w:rsid w:val="00B65102"/>
    <w:rsid w:val="00B7747C"/>
    <w:rsid w:val="00BB093B"/>
    <w:rsid w:val="00C10011"/>
    <w:rsid w:val="00C13DEE"/>
    <w:rsid w:val="00C5747C"/>
    <w:rsid w:val="00CA1E24"/>
    <w:rsid w:val="00CD2288"/>
    <w:rsid w:val="00D445B2"/>
    <w:rsid w:val="00E46B24"/>
    <w:rsid w:val="00E53F5B"/>
    <w:rsid w:val="00E56BDB"/>
    <w:rsid w:val="00E65FBD"/>
    <w:rsid w:val="00E7312E"/>
    <w:rsid w:val="00E81564"/>
    <w:rsid w:val="00EB0E94"/>
    <w:rsid w:val="00EF728E"/>
    <w:rsid w:val="00F24063"/>
    <w:rsid w:val="00FD06F6"/>
    <w:rsid w:val="00FD36AA"/>
    <w:rsid w:val="00FD4AAB"/>
    <w:rsid w:val="00FF29A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87"/>
    <w:pPr>
      <w:ind w:left="720"/>
      <w:contextualSpacing/>
    </w:pPr>
  </w:style>
  <w:style w:type="paragraph" w:customStyle="1" w:styleId="Default">
    <w:name w:val="Default"/>
    <w:rsid w:val="00166B87"/>
    <w:pPr>
      <w:widowControl w:val="0"/>
      <w:autoSpaceDE w:val="0"/>
      <w:autoSpaceDN w:val="0"/>
      <w:adjustRightInd w:val="0"/>
      <w:spacing w:after="0"/>
    </w:pPr>
    <w:rPr>
      <w:rFonts w:ascii="Cambria" w:hAnsi="Cambria" w:cs="Cambria"/>
      <w:color w:val="000000"/>
      <w:lang w:val="en-US"/>
    </w:rPr>
  </w:style>
  <w:style w:type="paragraph" w:styleId="HTMLPreformatted">
    <w:name w:val="HTML Preformatted"/>
    <w:basedOn w:val="Normal"/>
    <w:link w:val="HTMLPreformattedChar"/>
    <w:uiPriority w:val="99"/>
    <w:unhideWhenUsed/>
    <w:rsid w:val="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7B2C10"/>
    <w:rPr>
      <w:rFonts w:ascii="Courier" w:hAnsi="Courier" w:cs="Courier"/>
      <w:sz w:val="20"/>
      <w:szCs w:val="20"/>
      <w:lang w:eastAsia="en-US"/>
    </w:rPr>
  </w:style>
  <w:style w:type="paragraph" w:styleId="BalloonText">
    <w:name w:val="Balloon Text"/>
    <w:basedOn w:val="Normal"/>
    <w:link w:val="BalloonTextChar"/>
    <w:uiPriority w:val="99"/>
    <w:semiHidden/>
    <w:unhideWhenUsed/>
    <w:rsid w:val="009F48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81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28093F"/>
    <w:pPr>
      <w:spacing w:after="0"/>
    </w:pPr>
    <w:rPr>
      <w:sz w:val="20"/>
      <w:szCs w:val="20"/>
    </w:rPr>
  </w:style>
  <w:style w:type="character" w:customStyle="1" w:styleId="FootnoteTextChar">
    <w:name w:val="Footnote Text Char"/>
    <w:basedOn w:val="DefaultParagraphFont"/>
    <w:link w:val="FootnoteText"/>
    <w:uiPriority w:val="99"/>
    <w:semiHidden/>
    <w:rsid w:val="0028093F"/>
    <w:rPr>
      <w:sz w:val="20"/>
      <w:szCs w:val="20"/>
    </w:rPr>
  </w:style>
  <w:style w:type="character" w:styleId="FootnoteReference">
    <w:name w:val="footnote reference"/>
    <w:basedOn w:val="DefaultParagraphFont"/>
    <w:uiPriority w:val="99"/>
    <w:semiHidden/>
    <w:unhideWhenUsed/>
    <w:rsid w:val="0028093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87"/>
    <w:pPr>
      <w:ind w:left="720"/>
      <w:contextualSpacing/>
    </w:pPr>
  </w:style>
  <w:style w:type="paragraph" w:customStyle="1" w:styleId="Default">
    <w:name w:val="Default"/>
    <w:rsid w:val="00166B87"/>
    <w:pPr>
      <w:widowControl w:val="0"/>
      <w:autoSpaceDE w:val="0"/>
      <w:autoSpaceDN w:val="0"/>
      <w:adjustRightInd w:val="0"/>
      <w:spacing w:after="0"/>
    </w:pPr>
    <w:rPr>
      <w:rFonts w:ascii="Cambria" w:hAnsi="Cambria" w:cs="Cambria"/>
      <w:color w:val="000000"/>
      <w:lang w:val="en-US"/>
    </w:rPr>
  </w:style>
  <w:style w:type="paragraph" w:styleId="HTMLPreformatted">
    <w:name w:val="HTML Preformatted"/>
    <w:basedOn w:val="Normal"/>
    <w:link w:val="HTMLPreformattedChar"/>
    <w:uiPriority w:val="99"/>
    <w:unhideWhenUsed/>
    <w:rsid w:val="007B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7B2C10"/>
    <w:rPr>
      <w:rFonts w:ascii="Courier" w:hAnsi="Courier" w:cs="Courier"/>
      <w:sz w:val="20"/>
      <w:szCs w:val="20"/>
      <w:lang w:eastAsia="en-US"/>
    </w:rPr>
  </w:style>
  <w:style w:type="paragraph" w:styleId="BalloonText">
    <w:name w:val="Balloon Text"/>
    <w:basedOn w:val="Normal"/>
    <w:link w:val="BalloonTextChar"/>
    <w:uiPriority w:val="99"/>
    <w:semiHidden/>
    <w:unhideWhenUsed/>
    <w:rsid w:val="009F48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8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3770">
      <w:bodyDiv w:val="1"/>
      <w:marLeft w:val="0"/>
      <w:marRight w:val="0"/>
      <w:marTop w:val="0"/>
      <w:marBottom w:val="0"/>
      <w:divBdr>
        <w:top w:val="none" w:sz="0" w:space="0" w:color="auto"/>
        <w:left w:val="none" w:sz="0" w:space="0" w:color="auto"/>
        <w:bottom w:val="none" w:sz="0" w:space="0" w:color="auto"/>
        <w:right w:val="none" w:sz="0" w:space="0" w:color="auto"/>
      </w:divBdr>
    </w:div>
    <w:div w:id="1121461088">
      <w:bodyDiv w:val="1"/>
      <w:marLeft w:val="0"/>
      <w:marRight w:val="0"/>
      <w:marTop w:val="0"/>
      <w:marBottom w:val="0"/>
      <w:divBdr>
        <w:top w:val="none" w:sz="0" w:space="0" w:color="auto"/>
        <w:left w:val="none" w:sz="0" w:space="0" w:color="auto"/>
        <w:bottom w:val="none" w:sz="0" w:space="0" w:color="auto"/>
        <w:right w:val="none" w:sz="0" w:space="0" w:color="auto"/>
      </w:divBdr>
    </w:div>
    <w:div w:id="1244416273">
      <w:bodyDiv w:val="1"/>
      <w:marLeft w:val="0"/>
      <w:marRight w:val="0"/>
      <w:marTop w:val="0"/>
      <w:marBottom w:val="0"/>
      <w:divBdr>
        <w:top w:val="none" w:sz="0" w:space="0" w:color="auto"/>
        <w:left w:val="none" w:sz="0" w:space="0" w:color="auto"/>
        <w:bottom w:val="none" w:sz="0" w:space="0" w:color="auto"/>
        <w:right w:val="none" w:sz="0" w:space="0" w:color="auto"/>
      </w:divBdr>
    </w:div>
    <w:div w:id="1535970573">
      <w:bodyDiv w:val="1"/>
      <w:marLeft w:val="0"/>
      <w:marRight w:val="0"/>
      <w:marTop w:val="0"/>
      <w:marBottom w:val="0"/>
      <w:divBdr>
        <w:top w:val="none" w:sz="0" w:space="0" w:color="auto"/>
        <w:left w:val="none" w:sz="0" w:space="0" w:color="auto"/>
        <w:bottom w:val="none" w:sz="0" w:space="0" w:color="auto"/>
        <w:right w:val="none" w:sz="0" w:space="0" w:color="auto"/>
      </w:divBdr>
    </w:div>
    <w:div w:id="1700545502">
      <w:bodyDiv w:val="1"/>
      <w:marLeft w:val="0"/>
      <w:marRight w:val="0"/>
      <w:marTop w:val="0"/>
      <w:marBottom w:val="0"/>
      <w:divBdr>
        <w:top w:val="none" w:sz="0" w:space="0" w:color="auto"/>
        <w:left w:val="none" w:sz="0" w:space="0" w:color="auto"/>
        <w:bottom w:val="none" w:sz="0" w:space="0" w:color="auto"/>
        <w:right w:val="none" w:sz="0" w:space="0" w:color="auto"/>
      </w:divBdr>
    </w:div>
    <w:div w:id="2019842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operl%20Kevin\Downloads\rapport%20sur%20la%20fiscalite&#769;.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operl%20Kevin\Downloads\rapport%20sur%20la%20fiscalite&#769;.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operl%20Kevin\Desktop\Fiscalit&#233;%20TFEK\rapport%20sur%20la%20fiscalite&#769;%20fk.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50846456692915"/>
          <c:y val="0.0370594223763771"/>
          <c:w val="0.53852646544182"/>
          <c:h val="0.898086588464962"/>
        </c:manualLayout>
      </c:layout>
      <c:pieChart>
        <c:varyColors val="1"/>
        <c:ser>
          <c:idx val="0"/>
          <c:order val="0"/>
          <c:explosion val="7"/>
          <c:cat>
            <c:strRef>
              <c:f>(Feuil1!$K$4,Feuil1!$M$4,Feuil1!$P$4,Feuil1!$S$4,Feuil1!$T$4)</c:f>
              <c:strCache>
                <c:ptCount val="5"/>
                <c:pt idx="0">
                  <c:v>Impôts Indirects</c:v>
                </c:pt>
                <c:pt idx="1">
                  <c:v>Impôts sur le revenu</c:v>
                </c:pt>
                <c:pt idx="2">
                  <c:v>Impôts sur le logement</c:v>
                </c:pt>
                <c:pt idx="3">
                  <c:v>CSG</c:v>
                </c:pt>
                <c:pt idx="4">
                  <c:v>ISF</c:v>
                </c:pt>
              </c:strCache>
            </c:strRef>
          </c:cat>
          <c:val>
            <c:numRef>
              <c:f>(Feuil1!$K$16,Feuil1!$M$16,Feuil1!$P$16,Feuil1!$S$16,Feuil1!$T$16)</c:f>
              <c:numCache>
                <c:formatCode>General</c:formatCode>
                <c:ptCount val="5"/>
                <c:pt idx="0">
                  <c:v>43.94097409956662</c:v>
                </c:pt>
                <c:pt idx="1">
                  <c:v>20.01017923555446</c:v>
                </c:pt>
                <c:pt idx="2">
                  <c:v>11.34699962230206</c:v>
                </c:pt>
                <c:pt idx="3">
                  <c:v>22.946501597408</c:v>
                </c:pt>
                <c:pt idx="4">
                  <c:v>1.75534544516883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Revenu disponible par mois (€)</a:t>
            </a:r>
          </a:p>
        </c:rich>
      </c:tx>
      <c:layout/>
      <c:overlay val="0"/>
    </c:title>
    <c:autoTitleDeleted val="0"/>
    <c:plotArea>
      <c:layout/>
      <c:barChart>
        <c:barDir val="col"/>
        <c:grouping val="clustered"/>
        <c:varyColors val="0"/>
        <c:ser>
          <c:idx val="0"/>
          <c:order val="0"/>
          <c:tx>
            <c:strRef>
              <c:f>Feuil1!$T$43</c:f>
              <c:strCache>
                <c:ptCount val="1"/>
                <c:pt idx="0">
                  <c:v>Revenu disp /mois</c:v>
                </c:pt>
              </c:strCache>
            </c:strRef>
          </c:tx>
          <c:invertIfNegative val="0"/>
          <c:val>
            <c:numRef>
              <c:f>Feuil1!$T$44:$T$53</c:f>
              <c:numCache>
                <c:formatCode>0</c:formatCode>
                <c:ptCount val="10"/>
                <c:pt idx="0">
                  <c:v>1015.0</c:v>
                </c:pt>
                <c:pt idx="1">
                  <c:v>1513.333333333331</c:v>
                </c:pt>
                <c:pt idx="2">
                  <c:v>1805.833333333331</c:v>
                </c:pt>
                <c:pt idx="3">
                  <c:v>2040.0</c:v>
                </c:pt>
                <c:pt idx="4">
                  <c:v>2364.166666666662</c:v>
                </c:pt>
                <c:pt idx="5">
                  <c:v>2715.83333333334</c:v>
                </c:pt>
                <c:pt idx="6">
                  <c:v>3085.83333333334</c:v>
                </c:pt>
                <c:pt idx="7">
                  <c:v>3515.0</c:v>
                </c:pt>
                <c:pt idx="8">
                  <c:v>4257.5</c:v>
                </c:pt>
                <c:pt idx="9">
                  <c:v>7791.66666666668</c:v>
                </c:pt>
              </c:numCache>
            </c:numRef>
          </c:val>
        </c:ser>
        <c:dLbls>
          <c:showLegendKey val="0"/>
          <c:showVal val="0"/>
          <c:showCatName val="0"/>
          <c:showSerName val="0"/>
          <c:showPercent val="0"/>
          <c:showBubbleSize val="0"/>
        </c:dLbls>
        <c:gapWidth val="150"/>
        <c:axId val="2065855432"/>
        <c:axId val="2069946920"/>
      </c:barChart>
      <c:catAx>
        <c:axId val="2065855432"/>
        <c:scaling>
          <c:orientation val="minMax"/>
        </c:scaling>
        <c:delete val="0"/>
        <c:axPos val="b"/>
        <c:majorTickMark val="out"/>
        <c:minorTickMark val="none"/>
        <c:tickLblPos val="nextTo"/>
        <c:crossAx val="2069946920"/>
        <c:crosses val="autoZero"/>
        <c:auto val="1"/>
        <c:lblAlgn val="ctr"/>
        <c:lblOffset val="100"/>
        <c:noMultiLvlLbl val="0"/>
      </c:catAx>
      <c:valAx>
        <c:axId val="2069946920"/>
        <c:scaling>
          <c:orientation val="minMax"/>
        </c:scaling>
        <c:delete val="0"/>
        <c:axPos val="l"/>
        <c:majorGridlines/>
        <c:numFmt formatCode="0" sourceLinked="1"/>
        <c:majorTickMark val="out"/>
        <c:minorTickMark val="none"/>
        <c:tickLblPos val="nextTo"/>
        <c:crossAx val="20658554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t>Revenu disponible par an (€)</a:t>
            </a:r>
            <a:endParaRPr lang="fr-FR" sz="1400"/>
          </a:p>
        </c:rich>
      </c:tx>
      <c:layout/>
      <c:overlay val="0"/>
    </c:title>
    <c:autoTitleDeleted val="0"/>
    <c:plotArea>
      <c:layout/>
      <c:barChart>
        <c:barDir val="col"/>
        <c:grouping val="clustered"/>
        <c:varyColors val="0"/>
        <c:ser>
          <c:idx val="0"/>
          <c:order val="0"/>
          <c:tx>
            <c:strRef>
              <c:f>Feuil1!$U$43</c:f>
              <c:strCache>
                <c:ptCount val="1"/>
                <c:pt idx="0">
                  <c:v>revenu disponible / an</c:v>
                </c:pt>
              </c:strCache>
            </c:strRef>
          </c:tx>
          <c:invertIfNegative val="0"/>
          <c:val>
            <c:numRef>
              <c:f>Feuil1!$U$44:$U$53</c:f>
              <c:numCache>
                <c:formatCode>General</c:formatCode>
                <c:ptCount val="10"/>
                <c:pt idx="0">
                  <c:v>12180.0</c:v>
                </c:pt>
                <c:pt idx="1">
                  <c:v>18160.0</c:v>
                </c:pt>
                <c:pt idx="2">
                  <c:v>21670.0</c:v>
                </c:pt>
                <c:pt idx="3">
                  <c:v>24480.0</c:v>
                </c:pt>
                <c:pt idx="4">
                  <c:v>28370.0</c:v>
                </c:pt>
                <c:pt idx="5">
                  <c:v>32590.0</c:v>
                </c:pt>
                <c:pt idx="6">
                  <c:v>37030.0</c:v>
                </c:pt>
                <c:pt idx="7">
                  <c:v>42180.0</c:v>
                </c:pt>
                <c:pt idx="8">
                  <c:v>51090.0</c:v>
                </c:pt>
                <c:pt idx="9">
                  <c:v>93500.0</c:v>
                </c:pt>
              </c:numCache>
            </c:numRef>
          </c:val>
        </c:ser>
        <c:dLbls>
          <c:showLegendKey val="0"/>
          <c:showVal val="0"/>
          <c:showCatName val="0"/>
          <c:showSerName val="0"/>
          <c:showPercent val="0"/>
          <c:showBubbleSize val="0"/>
        </c:dLbls>
        <c:gapWidth val="150"/>
        <c:axId val="2069898888"/>
        <c:axId val="2065975352"/>
      </c:barChart>
      <c:catAx>
        <c:axId val="2069898888"/>
        <c:scaling>
          <c:orientation val="minMax"/>
        </c:scaling>
        <c:delete val="0"/>
        <c:axPos val="b"/>
        <c:majorTickMark val="out"/>
        <c:minorTickMark val="none"/>
        <c:tickLblPos val="nextTo"/>
        <c:crossAx val="2065975352"/>
        <c:crosses val="autoZero"/>
        <c:auto val="1"/>
        <c:lblAlgn val="ctr"/>
        <c:lblOffset val="100"/>
        <c:noMultiLvlLbl val="0"/>
      </c:catAx>
      <c:valAx>
        <c:axId val="2065975352"/>
        <c:scaling>
          <c:orientation val="minMax"/>
        </c:scaling>
        <c:delete val="0"/>
        <c:axPos val="l"/>
        <c:majorGridlines/>
        <c:numFmt formatCode="General" sourceLinked="1"/>
        <c:majorTickMark val="out"/>
        <c:minorTickMark val="none"/>
        <c:tickLblPos val="nextTo"/>
        <c:crossAx val="20698988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Feuil1!$N$4</c:f>
              <c:strCache>
                <c:ptCount val="1"/>
                <c:pt idx="0">
                  <c:v>% IR</c:v>
                </c:pt>
              </c:strCache>
            </c:strRef>
          </c:tx>
          <c:invertIfNegative val="0"/>
          <c:val>
            <c:numRef>
              <c:f>Feuil1!$N$5:$N$14</c:f>
              <c:numCache>
                <c:formatCode>General</c:formatCode>
                <c:ptCount val="10"/>
                <c:pt idx="0">
                  <c:v>0.205254515599343</c:v>
                </c:pt>
                <c:pt idx="1">
                  <c:v>0.495594713656388</c:v>
                </c:pt>
                <c:pt idx="2">
                  <c:v>0.558375634517767</c:v>
                </c:pt>
                <c:pt idx="3">
                  <c:v>0.849673202614379</c:v>
                </c:pt>
                <c:pt idx="4">
                  <c:v>1.170250264363765</c:v>
                </c:pt>
                <c:pt idx="5">
                  <c:v>2.135624424670143</c:v>
                </c:pt>
                <c:pt idx="6">
                  <c:v>2.843640291655414</c:v>
                </c:pt>
                <c:pt idx="7">
                  <c:v>4.23186344238976</c:v>
                </c:pt>
                <c:pt idx="8">
                  <c:v>5.586220395380703</c:v>
                </c:pt>
                <c:pt idx="9">
                  <c:v>11.12513368983957</c:v>
                </c:pt>
              </c:numCache>
            </c:numRef>
          </c:val>
        </c:ser>
        <c:dLbls>
          <c:showLegendKey val="0"/>
          <c:showVal val="0"/>
          <c:showCatName val="0"/>
          <c:showSerName val="0"/>
          <c:showPercent val="0"/>
          <c:showBubbleSize val="0"/>
        </c:dLbls>
        <c:gapWidth val="150"/>
        <c:shape val="box"/>
        <c:axId val="2053580680"/>
        <c:axId val="2112100936"/>
        <c:axId val="0"/>
      </c:bar3DChart>
      <c:catAx>
        <c:axId val="2053580680"/>
        <c:scaling>
          <c:orientation val="minMax"/>
        </c:scaling>
        <c:delete val="0"/>
        <c:axPos val="b"/>
        <c:majorTickMark val="out"/>
        <c:minorTickMark val="none"/>
        <c:tickLblPos val="nextTo"/>
        <c:crossAx val="2112100936"/>
        <c:crosses val="autoZero"/>
        <c:auto val="1"/>
        <c:lblAlgn val="ctr"/>
        <c:lblOffset val="100"/>
        <c:noMultiLvlLbl val="0"/>
      </c:catAx>
      <c:valAx>
        <c:axId val="2112100936"/>
        <c:scaling>
          <c:orientation val="minMax"/>
        </c:scaling>
        <c:delete val="0"/>
        <c:axPos val="l"/>
        <c:majorGridlines/>
        <c:numFmt formatCode="General" sourceLinked="1"/>
        <c:majorTickMark val="out"/>
        <c:minorTickMark val="none"/>
        <c:tickLblPos val="nextTo"/>
        <c:crossAx val="20535806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Feuil1!$U$4</c:f>
              <c:strCache>
                <c:ptCount val="1"/>
                <c:pt idx="0">
                  <c:v>% ISF</c:v>
                </c:pt>
              </c:strCache>
            </c:strRef>
          </c:tx>
          <c:invertIfNegative val="0"/>
          <c:val>
            <c:numRef>
              <c:f>Feuil1!$U$5:$U$14</c:f>
              <c:numCache>
                <c:formatCode>General</c:formatCode>
                <c:ptCount val="10"/>
                <c:pt idx="0">
                  <c:v>0.0</c:v>
                </c:pt>
                <c:pt idx="1">
                  <c:v>0.0</c:v>
                </c:pt>
                <c:pt idx="2">
                  <c:v>0.0</c:v>
                </c:pt>
                <c:pt idx="3">
                  <c:v>0.0</c:v>
                </c:pt>
                <c:pt idx="4">
                  <c:v>0.0</c:v>
                </c:pt>
                <c:pt idx="5">
                  <c:v>0.0</c:v>
                </c:pt>
                <c:pt idx="6">
                  <c:v>0.0</c:v>
                </c:pt>
                <c:pt idx="7">
                  <c:v>0.0</c:v>
                </c:pt>
                <c:pt idx="8">
                  <c:v>0.0</c:v>
                </c:pt>
                <c:pt idx="9">
                  <c:v>1.648059494284096</c:v>
                </c:pt>
              </c:numCache>
            </c:numRef>
          </c:val>
        </c:ser>
        <c:dLbls>
          <c:showLegendKey val="0"/>
          <c:showVal val="0"/>
          <c:showCatName val="0"/>
          <c:showSerName val="0"/>
          <c:showPercent val="0"/>
          <c:showBubbleSize val="0"/>
        </c:dLbls>
        <c:gapWidth val="150"/>
        <c:shape val="box"/>
        <c:axId val="2069974344"/>
        <c:axId val="2066136488"/>
        <c:axId val="0"/>
      </c:bar3DChart>
      <c:catAx>
        <c:axId val="2069974344"/>
        <c:scaling>
          <c:orientation val="minMax"/>
        </c:scaling>
        <c:delete val="0"/>
        <c:axPos val="b"/>
        <c:majorTickMark val="out"/>
        <c:minorTickMark val="none"/>
        <c:tickLblPos val="nextTo"/>
        <c:crossAx val="2066136488"/>
        <c:crosses val="autoZero"/>
        <c:auto val="1"/>
        <c:lblAlgn val="ctr"/>
        <c:lblOffset val="100"/>
        <c:noMultiLvlLbl val="0"/>
      </c:catAx>
      <c:valAx>
        <c:axId val="2066136488"/>
        <c:scaling>
          <c:orientation val="minMax"/>
        </c:scaling>
        <c:delete val="0"/>
        <c:axPos val="l"/>
        <c:majorGridlines/>
        <c:numFmt formatCode="General" sourceLinked="1"/>
        <c:majorTickMark val="out"/>
        <c:minorTickMark val="none"/>
        <c:tickLblPos val="nextTo"/>
        <c:crossAx val="2069974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Feuil1!$R$4</c:f>
              <c:strCache>
                <c:ptCount val="1"/>
                <c:pt idx="0">
                  <c:v>% CSG</c:v>
                </c:pt>
              </c:strCache>
            </c:strRef>
          </c:tx>
          <c:invertIfNegative val="0"/>
          <c:val>
            <c:numRef>
              <c:f>Feuil1!$R$5:$R$14</c:f>
              <c:numCache>
                <c:formatCode>General</c:formatCode>
                <c:ptCount val="10"/>
                <c:pt idx="0">
                  <c:v>2.5</c:v>
                </c:pt>
                <c:pt idx="1">
                  <c:v>3.6</c:v>
                </c:pt>
                <c:pt idx="2">
                  <c:v>4.4</c:v>
                </c:pt>
                <c:pt idx="3">
                  <c:v>5.1</c:v>
                </c:pt>
                <c:pt idx="4">
                  <c:v>5.6</c:v>
                </c:pt>
                <c:pt idx="5">
                  <c:v>6.2</c:v>
                </c:pt>
                <c:pt idx="6">
                  <c:v>6.5</c:v>
                </c:pt>
                <c:pt idx="7">
                  <c:v>6.4</c:v>
                </c:pt>
                <c:pt idx="8">
                  <c:v>6.3</c:v>
                </c:pt>
                <c:pt idx="9">
                  <c:v>5.4</c:v>
                </c:pt>
              </c:numCache>
            </c:numRef>
          </c:val>
        </c:ser>
        <c:dLbls>
          <c:showLegendKey val="0"/>
          <c:showVal val="0"/>
          <c:showCatName val="0"/>
          <c:showSerName val="0"/>
          <c:showPercent val="0"/>
          <c:showBubbleSize val="0"/>
        </c:dLbls>
        <c:gapWidth val="150"/>
        <c:shape val="box"/>
        <c:axId val="2112862152"/>
        <c:axId val="2054057000"/>
        <c:axId val="0"/>
      </c:bar3DChart>
      <c:catAx>
        <c:axId val="2112862152"/>
        <c:scaling>
          <c:orientation val="minMax"/>
        </c:scaling>
        <c:delete val="0"/>
        <c:axPos val="b"/>
        <c:majorTickMark val="out"/>
        <c:minorTickMark val="none"/>
        <c:tickLblPos val="nextTo"/>
        <c:crossAx val="2054057000"/>
        <c:crosses val="autoZero"/>
        <c:auto val="1"/>
        <c:lblAlgn val="ctr"/>
        <c:lblOffset val="100"/>
        <c:noMultiLvlLbl val="0"/>
      </c:catAx>
      <c:valAx>
        <c:axId val="2054057000"/>
        <c:scaling>
          <c:orientation val="minMax"/>
        </c:scaling>
        <c:delete val="0"/>
        <c:axPos val="l"/>
        <c:majorGridlines/>
        <c:numFmt formatCode="General" sourceLinked="1"/>
        <c:majorTickMark val="out"/>
        <c:minorTickMark val="none"/>
        <c:tickLblPos val="nextTo"/>
        <c:crossAx val="21128621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Feuil1!$Q$4</c:f>
              <c:strCache>
                <c:ptCount val="1"/>
                <c:pt idx="0">
                  <c:v>% logement</c:v>
                </c:pt>
              </c:strCache>
            </c:strRef>
          </c:tx>
          <c:invertIfNegative val="0"/>
          <c:val>
            <c:numRef>
              <c:f>Feuil1!$Q$5:$Q$14</c:f>
              <c:numCache>
                <c:formatCode>General</c:formatCode>
                <c:ptCount val="10"/>
                <c:pt idx="0">
                  <c:v>2.701149425287357</c:v>
                </c:pt>
                <c:pt idx="1">
                  <c:v>2.147577092511014</c:v>
                </c:pt>
                <c:pt idx="2">
                  <c:v>2.210429164743884</c:v>
                </c:pt>
                <c:pt idx="3">
                  <c:v>2.822712418300653</c:v>
                </c:pt>
                <c:pt idx="4">
                  <c:v>2.946774762072612</c:v>
                </c:pt>
                <c:pt idx="5">
                  <c:v>3.06535747161706</c:v>
                </c:pt>
                <c:pt idx="6">
                  <c:v>3.051579800162031</c:v>
                </c:pt>
                <c:pt idx="7">
                  <c:v>3.06543385490754</c:v>
                </c:pt>
                <c:pt idx="8">
                  <c:v>3.033861812487767</c:v>
                </c:pt>
                <c:pt idx="9">
                  <c:v>2.421390374331551</c:v>
                </c:pt>
              </c:numCache>
            </c:numRef>
          </c:val>
        </c:ser>
        <c:dLbls>
          <c:showLegendKey val="0"/>
          <c:showVal val="0"/>
          <c:showCatName val="0"/>
          <c:showSerName val="0"/>
          <c:showPercent val="0"/>
          <c:showBubbleSize val="0"/>
        </c:dLbls>
        <c:gapWidth val="150"/>
        <c:shape val="box"/>
        <c:axId val="2054050648"/>
        <c:axId val="2053961608"/>
        <c:axId val="0"/>
      </c:bar3DChart>
      <c:catAx>
        <c:axId val="2054050648"/>
        <c:scaling>
          <c:orientation val="minMax"/>
        </c:scaling>
        <c:delete val="0"/>
        <c:axPos val="b"/>
        <c:majorTickMark val="out"/>
        <c:minorTickMark val="none"/>
        <c:tickLblPos val="nextTo"/>
        <c:crossAx val="2053961608"/>
        <c:crosses val="autoZero"/>
        <c:auto val="1"/>
        <c:lblAlgn val="ctr"/>
        <c:lblOffset val="100"/>
        <c:noMultiLvlLbl val="0"/>
      </c:catAx>
      <c:valAx>
        <c:axId val="2053961608"/>
        <c:scaling>
          <c:orientation val="minMax"/>
        </c:scaling>
        <c:delete val="0"/>
        <c:axPos val="l"/>
        <c:majorGridlines/>
        <c:numFmt formatCode="General" sourceLinked="1"/>
        <c:majorTickMark val="out"/>
        <c:minorTickMark val="none"/>
        <c:tickLblPos val="nextTo"/>
        <c:crossAx val="20540506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Feuil1!$J$4</c:f>
              <c:strCache>
                <c:ptCount val="1"/>
                <c:pt idx="0">
                  <c:v>Total % indirect</c:v>
                </c:pt>
              </c:strCache>
            </c:strRef>
          </c:tx>
          <c:invertIfNegative val="0"/>
          <c:val>
            <c:numRef>
              <c:f>Feuil1!$J$5:$J$14</c:f>
              <c:numCache>
                <c:formatCode>0.00</c:formatCode>
                <c:ptCount val="10"/>
                <c:pt idx="0">
                  <c:v>17.69</c:v>
                </c:pt>
                <c:pt idx="1">
                  <c:v>14.8</c:v>
                </c:pt>
                <c:pt idx="2">
                  <c:v>13.91</c:v>
                </c:pt>
                <c:pt idx="3">
                  <c:v>13.31</c:v>
                </c:pt>
                <c:pt idx="4">
                  <c:v>12.74</c:v>
                </c:pt>
                <c:pt idx="5">
                  <c:v>11.93</c:v>
                </c:pt>
                <c:pt idx="6">
                  <c:v>11.44</c:v>
                </c:pt>
                <c:pt idx="7">
                  <c:v>10.92</c:v>
                </c:pt>
                <c:pt idx="8">
                  <c:v>9.95</c:v>
                </c:pt>
                <c:pt idx="9">
                  <c:v>6.45</c:v>
                </c:pt>
              </c:numCache>
            </c:numRef>
          </c:val>
        </c:ser>
        <c:dLbls>
          <c:showLegendKey val="0"/>
          <c:showVal val="0"/>
          <c:showCatName val="0"/>
          <c:showSerName val="0"/>
          <c:showPercent val="0"/>
          <c:showBubbleSize val="0"/>
        </c:dLbls>
        <c:gapWidth val="150"/>
        <c:shape val="box"/>
        <c:axId val="2053728616"/>
        <c:axId val="2053677592"/>
        <c:axId val="0"/>
      </c:bar3DChart>
      <c:catAx>
        <c:axId val="2053728616"/>
        <c:scaling>
          <c:orientation val="minMax"/>
        </c:scaling>
        <c:delete val="0"/>
        <c:axPos val="b"/>
        <c:majorTickMark val="out"/>
        <c:minorTickMark val="none"/>
        <c:tickLblPos val="nextTo"/>
        <c:crossAx val="2053677592"/>
        <c:crosses val="autoZero"/>
        <c:auto val="1"/>
        <c:lblAlgn val="ctr"/>
        <c:lblOffset val="100"/>
        <c:noMultiLvlLbl val="0"/>
      </c:catAx>
      <c:valAx>
        <c:axId val="2053677592"/>
        <c:scaling>
          <c:orientation val="minMax"/>
        </c:scaling>
        <c:delete val="0"/>
        <c:axPos val="l"/>
        <c:majorGridlines/>
        <c:numFmt formatCode="0.00" sourceLinked="1"/>
        <c:majorTickMark val="out"/>
        <c:minorTickMark val="none"/>
        <c:tickLblPos val="nextTo"/>
        <c:crossAx val="20537286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Feuil1!$W$4</c:f>
              <c:strCache>
                <c:ptCount val="1"/>
                <c:pt idx="0">
                  <c:v>% imp total</c:v>
                </c:pt>
              </c:strCache>
            </c:strRef>
          </c:tx>
          <c:invertIfNegative val="0"/>
          <c:val>
            <c:numRef>
              <c:f>Feuil1!$W$5:$W$14</c:f>
              <c:numCache>
                <c:formatCode>General</c:formatCode>
                <c:ptCount val="10"/>
                <c:pt idx="0">
                  <c:v>23.0964039408867</c:v>
                </c:pt>
                <c:pt idx="1">
                  <c:v>21.0431718061674</c:v>
                </c:pt>
                <c:pt idx="2">
                  <c:v>21.07880479926165</c:v>
                </c:pt>
                <c:pt idx="3">
                  <c:v>22.08238562091503</c:v>
                </c:pt>
                <c:pt idx="4">
                  <c:v>22.45702502643638</c:v>
                </c:pt>
                <c:pt idx="5">
                  <c:v>23.33098189628721</c:v>
                </c:pt>
                <c:pt idx="6">
                  <c:v>23.83522009181744</c:v>
                </c:pt>
                <c:pt idx="7">
                  <c:v>24.6172972972973</c:v>
                </c:pt>
                <c:pt idx="8">
                  <c:v>24.87008220786847</c:v>
                </c:pt>
                <c:pt idx="9">
                  <c:v>27.04458355845522</c:v>
                </c:pt>
              </c:numCache>
            </c:numRef>
          </c:val>
        </c:ser>
        <c:dLbls>
          <c:showLegendKey val="0"/>
          <c:showVal val="0"/>
          <c:showCatName val="0"/>
          <c:showSerName val="0"/>
          <c:showPercent val="0"/>
          <c:showBubbleSize val="0"/>
        </c:dLbls>
        <c:gapWidth val="150"/>
        <c:shape val="box"/>
        <c:axId val="2112431352"/>
        <c:axId val="2112782440"/>
        <c:axId val="0"/>
      </c:bar3DChart>
      <c:catAx>
        <c:axId val="2112431352"/>
        <c:scaling>
          <c:orientation val="minMax"/>
        </c:scaling>
        <c:delete val="0"/>
        <c:axPos val="b"/>
        <c:majorTickMark val="out"/>
        <c:minorTickMark val="none"/>
        <c:tickLblPos val="nextTo"/>
        <c:crossAx val="2112782440"/>
        <c:crosses val="autoZero"/>
        <c:auto val="1"/>
        <c:lblAlgn val="ctr"/>
        <c:lblOffset val="100"/>
        <c:noMultiLvlLbl val="0"/>
      </c:catAx>
      <c:valAx>
        <c:axId val="2112782440"/>
        <c:scaling>
          <c:orientation val="minMax"/>
        </c:scaling>
        <c:delete val="0"/>
        <c:axPos val="l"/>
        <c:majorGridlines/>
        <c:numFmt formatCode="General" sourceLinked="1"/>
        <c:majorTickMark val="out"/>
        <c:minorTickMark val="none"/>
        <c:tickLblPos val="nextTo"/>
        <c:crossAx val="21124313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AABC-D86C-A140-B123-29CD6E8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1167</Words>
  <Characters>6652</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dubonnet fred</dc:creator>
  <cp:keywords/>
  <dc:description/>
  <cp:lastModifiedBy>dubonnet fred</cp:lastModifiedBy>
  <cp:revision>5</cp:revision>
  <dcterms:created xsi:type="dcterms:W3CDTF">2017-06-28T10:15:00Z</dcterms:created>
  <dcterms:modified xsi:type="dcterms:W3CDTF">2017-09-05T18:50:00Z</dcterms:modified>
</cp:coreProperties>
</file>